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t>[AUTHOR INPUT NEEDED: exact installation year]</w:t>
      </w:r>
      <w:r>
        <w:t xml:space="preserve">, and its decade of near-silence was not what its manufacturer had reason to expect. In the platform's Korean home market the system was introduced with an active clinical research base - a community validation study of 289 older adults at a Seoul senior welfare centre (Park et al., 2019) and a reliability study (Kim et al., 2018) - and the author's industry experience was that home-market utilisation ran substantially higher than the silence observed in this hall </w:t>
      </w:r>
      <w:r>
        <w:rPr>
          <w:highlight w:val="yellow"/>
        </w:rPr>
        <w:t>[AUTHOR INPUT NEEDED: source for the comparative utilisation figures - InBody industry documentation]</w:t>
      </w:r>
      <w:r>
        <w:t>. Same instrument, same clinical purpose, different fate - the gap between the two markets is itself a datum, and the cross-cultural reference point is taken up in Chapter 4 (§4.7).</w:t>
      </w:r>
    </w:p>
    <w:p>
      <w:pPr>
        <w:jc w:val="both"/>
      </w:pPr>
      <w:r>
        <w:rPr/>
        <w:t xml:space="preserve">The evaluation that became this thesis began in late 2023, when the author - an industrial practitioner responsible for exactly such equipment - started to examine the station's silence systematically. The first working direction came from the author's supervisor: gamification might help. The direction was credible on the evidence then available - the literature reviewed in Chapter 2 documents game-based engagement effects for older adults - and games were duly developed for the platform. Nor was the idea foreign to the manufacturer: the FRA line itself ships with a training mode of balance games tailored to test results (InBody Co., Ltd., 2022). Yet the industrial signal was already mixed: the manufacturer's own experience with these gamified modes reportedly showed a similar pattern of early dropout </w:t>
      </w:r>
      <w:r>
        <w:rPr>
          <w:highlight w:val="yellow"/>
        </w:rPr>
      </w:r>
      <w:r/>
      <w:r>
        <w:rPr>
          <w:highlight w:val="yellow"/>
        </w:rPr>
        <w:t>[AUTHOR INPUT NEEDED: InBody industry documentation or published account of the gamified-mode experience]</w:t>
      </w:r>
      <w:r>
        <w:t>. Adding a game, in other words, was known not to be a guaranteed cure before this programme deployed one - which is precisely what made the question worth asking properly. If the station is free, clinically beneficial, accessible and now fun, and people still leave after their first failure, then what, exactly, is doing the leaving? The working conjecture formed at this point - failure-induced dropout, stated as the pre-research hypothesis in §1.5 - and what became of it is reported stage by stage in the chapters that follow.</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jc w:val="both"/>
      </w:pPr>
      <w:r>
        <w:t>The finding's shortest statement is this: the threat lives in the artefact - in the verdict a clinical station stands ready to deliver - while the abandonment is its observable shadow; and the mechanism connecting the two is the participant's own loss-averse appraisal and collapsed self-efficacy, not the FRA's difficulty and not the game's design.</w:t>
      </w:r>
    </w:p>
    <w:p>
      <w:pPr>
        <w:pStyle w:val="Heading2"/>
      </w:pPr>
      <w:r>
        <w:t>9.3A The Chain of Effects: The Argument in Logical Order</w:t>
      </w:r>
    </w:p>
    <w:p>
      <w:pPr>
        <w:jc w:val="both"/>
      </w:pPr>
      <w:r>
        <w:t xml:space="preserve">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Stage 1 concerned the un-gamified FRA as then operated - a therapist-supported station whose demanding assessment protocol deterred participation, and whose adverse verdict carried practical consequences: prescribed balance training, and a recommendation against walking alone and freely. Fear of the verdict therefore had teeth before any game existed. The stance that later crystallised in the Stage-2 deployment's qualitative record - summarised in composite paraphrase as 'the game is fun, gamification is beneficial, the FRA is a good tool - but I do not want it telling me where my health problems are' - dates the verdict-fear motif to participants who had played the game and liked it: the feared object was the verdict, never the gameplay. </w:t>
      </w:r>
      <w:r>
        <w:rPr>
          <w:highlight w:val="yellow"/>
        </w:rPr>
        <w:t>[AUTHOR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r>
              <w:t>On the un-gamified, therapist-supported FRA: non-return concentrates among prior users with an adverse first experience; participation deterred by the demanding assessment and by the verdict's consequences (prescribed training, restricted independent walking)</w:t>
            </w:r>
          </w:p>
        </w:tc>
        <w:tc>
          <w:tcPr>
            <w:tcW w:w="3024" w:type="dxa"/>
          </w:tcPr>
          <w:p>
            <w:r/>
            <w:r>
              <w:t>Stage-1 survey, N=200, plus facility operating practice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