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End-of-window retention was 93.3% overall and 85.4% in the 65-80 band among the 120 participants whose returned files were compiled (returned dropouts counted as retained; the invitation denominator and return timing are not recoverable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to 15 October 2026 are documented descriptively in Appendix I and are not used to test the adaptive-learning proposition, which is carried forward as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are the participants' returned materials.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Three outcome definitions are used throughout this chapter. The classifications follow a failure-then-stop rule stated by the author (30 September 2026): initial dropout denotes a participant who stopped playing after a failure or a game over; the aggregate register labels this outcome 'dropped out before completing 5 attempts'. Some participants received an earlier version of the build in which a run could end in a game over, while most played the archived build with its zero-failure mode; which participants received which version was not recorded.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after that failure.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A participant-level compilation of the returns into the logbook (Appendix G, item G.3) could not be completed before submission, so per-participant observation timelines are not available and the dropout and return counts are reported as compiled, subject to this definitional limit. Observed non-return denotes an initial dropout who never played again inside the study window, and end-of-window retention is its complement over the cohort: a participant who dropped out initially and later returned counts as retained. The single term end-of-window retention is used throughout this chapter for that construct. The chapter therefore reports the aggregate summary compiled from the returns in July 2026 (Appendix G, item G.3); the logbook's participant-level sheets are not populated, so the summary cannot be checked against individual entries.</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AI prompt-template archive with the deployed endpoint and run-time settings (item G.7); the de-identified Stage-3 distribution and return e-mail index (item G.5), which remains to be compiled from the retained e-mails; the completed manifest and lineage rows themselves, including code versions, hardware, input devices and the cleaning and derivation scripts behind each output table;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could not be completed before submission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The primary records are the returned e-mails, which carried the game results in mixed formats (exported CSV files or copied or typed text) together with the questionnaire responses; they are held in the records of the author and the research assistants.</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window 15 Sep–15 Oct 2026 closes at the thesis cut-off; later returns to 15 Oct entered in Table I.4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window and the thesis cut-off close on 15 October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to be recorded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