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asks why older adults abandon clinically valuable health technology, using Fall Risk Assessment (FRA) as the working case, and it is organised around a null hypothesis built honestly from the literature: that a gamified FRA satisfying the acceptance models (TAM, STAM) and the Octalysis motivational framework will be accepted and used, and that adverse first experiences will not produce lasting abandonment (H0, §2.3.5). The programme tests that hypothesis in the field, follows its rejection to a boundary condition for gamification theory, and arrives at a design discovery — adaptive learning — that connects the findings back to the programme topic: continuous improvement operating at the level of the individual user. The behavioural-economic mechanisms proposed along the way — mental accounting of health outcomes, identity-relevant endowment,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200 residents, interviewed from a resident population of 280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t>Taken together, the three stages support a scope law for gamification theory: the theory holds for older adults — the decoupled Stage-3 game was accepted at the levels the literature predicts, vindicating the acceptance and gamification stack for this population — until the gamified activity is attached to a purpose-based technology whose purpose, such as health assessment, strikes the identity-level value propositions of the user; at that boundary the theory fails, and FIAS names the mechanism of the failure. The between-cohort design supports rather than proves this account, and the 35.6-percentage-point gap between in-session retention (86.7%) and regular-use intention (51.1%) in the 65-80 band shows that decoupling alone is not sufficient: it removes what poisons engagement but supplies no reason to return, and the clinical purpose must eventually return to the experience. The programme's principal design discovery answers that residual problem: adaptive learning — challenge calibrated to the individual and failure reframed as information about a rising personal trajectory — as the behavioural-change driver that can re-attach clinical purpose safely. The Learning-Oriented Design Framework (LODF) is the engineering formalisation of that discovery, comprising identity disentanglement, trajectory installation and adaptive calibration; zero-failure presentation, an observation-driven inversion of Octalysis D8 made practical by AI-assisted development, supports it. The contributions are, in order: FIAS as the problem finding; the coupling boundary condition as the scope finding; adaptive learning as the design discovery, proposed for pre-specified prospective validation; and the methodological architecture (null hypothesis plus attribution stage, dual-purpose mechanic, QFD pipeline, AI-assisted action research) that produced them.</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 of 280 Residents)</w:t>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 interviewed, of a resident population of 280).</w:t>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which acquits the theory and the population and convicts the coupling. They do not rule out cohort self-selection, setting, recruitment, health-status, staff-interaction or observation-window differences, so the comparison is described as a between-cohort quasi-experimental decoupling study rather than a single-variable experiment. The residual 35.6-percentage-point difference in the 65-80 band between in-session retention and regular-use intention identifies the practical problem that remained — and it is where the programme found its principal design discovery: adaptive learning, formalised in Chapter 7 as LODF,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Stage 3 confirms, until the gamified activity is attached to a purpose-based technology whose verdicts touch the user's identity-level value propositions. The design discovery is adaptive learning as the behavioural-change driver — continuous improvement at the level of the individual user — with LODF as its engineering formalisation and zero-failure presentation as a supporting element. Methodologically, the thesis contributes the null-hypothesis-plus-attribution architecture (Table 3.1), the dual-purpose mechanic, the QFD evidence-to-design pipeline, a documented AI-assisted development workflow, and the commitment-gap measurement. Empirically, it reports the prospective rejection of H0 in Stage 2 and the theory-rescuing acceptance of the decoupled game in Stage 3, with within-cohort confirmation explicitly retained as future work. Practically, it specifies the adaptive-learning principle and LODF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that rescues gamification theory, establishes the coupling boundary condition, and — in the commitment gap — forces the design discovery. Part III claims and bounds it. Chapter 7 formalises adaptive learning as LODF;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w:t>
      </w:r>
      <w:r>
        <w:t xml:space="preserve">The figure of 280 that appears in earlier working documents is the facility's resident population at the time of the survey; 200 eligible residents were interviewed, and 200 is the denominator for every Stage-1 result. </w:t>
      </w:r>
      <w:r>
        <w:rPr>
          <w:b/>
          <w:highlight w:val="yellow"/>
        </w:rPr>
        <w:t>[AUTHOR INPUT REQUIRED: earlier drafts also mention a separate TAM-based multiple-choice block — confirm whether such a block was administered, and if so archive it with Appendix A; otherwise delete the reference. Only results with a traceable item, wording, denominator and data source remain in Table 4.1.]</w:t>
      </w:r>
      <w:r/>
    </w:p>
    <w:p w14:paraId="4CE718EE" w14:textId="77777777" w:rsidR="0062437E" w:rsidRDefault="00000000">
      <w:pPr>
        <w:pStyle w:val="Heading2"/>
      </w:pPr>
      <w:bookmarkStart w:id="56" w:name="_Toc232024556"/>
      <w:bookmarkEnd w:id="56"/>
      <w:r>
        <w:t>4.2 The Guangzhou Survey (N = 200 of 280 Residents)</w:t>
      </w:r>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w:t>
      </w:r>
      <w:r>
        <w:rPr>
          <w:b/>
          <w:highlight w:val="yellow"/>
        </w:rPr>
        <w:t>[AUTHOR INPUT REQUIRED: state why the remaining 80 residents were not interviewed — ineligible under the stated criteria, unavailable, or declined — with approximate counts if the log allows; this bears on selection bias and belongs in §4.8's limitations.]</w:t>
      </w:r>
    </w:p>
    <w:p w14:paraId="13B11C36" w14:textId="77777777" w:rsidR="0062437E" w:rsidRDefault="00000000">
      <w:pPr>
        <w:pStyle w:val="TableCaption"/>
        <w:jc w:val="center"/>
      </w:pPr>
      <w:bookmarkStart w:id="57" w:name="_Toc232024694"/>
      <w:bookmarkEnd w:id="57"/>
      <w:r>
        <w:t>Table 4.1. Stage-1 survey results (N = 200 residents interviewed, of a resident population of 280).</w:t>
      </w:r>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(denominator resolved: 200 interviewed of 280 residents):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LODF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LODF,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LODF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LODF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LODF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