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Gamification as a Proactive Approach: A Study of Elderly Failure-Induced Abandonment in Gamified Fall Risk Assessment</w:t>
      </w:r>
    </w:p>
    <w:p>
      <w:r>
        <w:rPr>
          <w:b w:val="0"/>
        </w:rPr>
        <w:t>Sidney K. T. Tam and Chi Fai Cheung</w:t>
        <w:br/>
        <w:t>Behaviour and Knowledge Engineering Research Centre, Department of Industrial and Systems Engineering, The Hong Kong Polytechnic University, Hong Kong, China</w:t>
        <w:br/>
        <w:t>Corresponding author: sidney.tam@connect.polyu.hk</w:t>
      </w:r>
    </w:p>
    <w:p>
      <w:r>
        <w:rPr>
          <w:b/>
        </w:rPr>
        <w:t>Abstract</w:t>
      </w:r>
    </w:p>
    <w:p>
      <w:r>
        <w:rPr>
          <w:b w:val="0"/>
        </w:rPr>
        <w:t>Fall Risk Assessment (FRA) systems are, in knowledge-management terms, knowledge infrastructures: they convert balance telemetry into clinical knowledge and return it to the elderly user. Yet at the study facility only 39% of 200 surveyed residents had ever used the installed FRA, and most who failed at first use never returned. This paper reports an eight-week action-research deployment of a gamified, AI-assisted FRA with thirty residents (aged 62-84) of a Southern China care facility, in which one weight-shifting action steers a skiing game while yielding the clinical balance measurement. Seventy per cent of participants (21/30; 95% CI 52.1-83.3%) had three or fewer recorded completed game runs, and none of the 21 has a later recorded run within the study window (0/21; 95% CI 0.0-15.5%) - including three participants whose recorded balance index improved in their single recorded run. The assessment knowledge was generated and captured, yet participation collapsed; whether that knowledge was communicated to participants, and how they responded to it, were not individually recorded and are posed as open questions. Two working hypotheses are advanced - Failure-Induced Dropout (self-efficacy collapse) and Failure-Induced Abandonment (loss-averse rejection of unwelcome knowledge about one's own body) - with four falsifiable predictions and a domain-reframing hypothesis specified for a preregistered three-arm study. Practitioner guidance for knowledge-bearing technologies serving older users is derived.</w:t>
      </w:r>
    </w:p>
    <w:p>
      <w:r>
        <w:rPr>
          <w:b w:val="0"/>
        </w:rPr>
        <w:t>Keywords: knowledge management; gamification; older adults; fall risk assessment; technology abandonment; knowledge acceptance; self-efficacy; loss aversion; artificial intelligence; action research</w:t>
      </w:r>
    </w:p>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jc w:val="both"/>
      </w:pPr>
      <w:r>
        <w:t>The inquiry is also a knowledge-management one. An FRA station is a small knowledge infrastructure: it generates assessment information from balance telemetry, codifies it as a clinical index for therapist review, and is intended to return its meaning to the person assessed. In the deployment reported here, generation and codification were carried by the system itself; the open questions concern interpretation and use — what the assessment output came to mean to therapists and participants, and what happened when the assessment experience turned adverse and the intended beneficiary stopped participating in the very system that produces the knowledge. The contribution sought is accordingly not a new assessment technique but an account of where the chain from knowledge generation through interpretation to use can break for older users, together with an explicit statement, in the Discussion, of which links in that chain the study's records can and cannot resolve.</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attrition, with no documented re-engagement within the observation window,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jc w:val="both"/>
      </w:pPr>
      <w:r>
        <w:t>At the level of whole technology programmes, nonadoption and abandonment are directly theorised by the NASSS framework (Greenhalgh et al., 2017), which locates their sources across the users, the technology, the organisation and the wider context of health and care deployments. NASSS therefore already accommodates the outcome observed here; what its domains do not specify is the psychological appraisal through which a single adverse experience becomes lasting non-return for a particular user. The FIDS-FIAS account is pitched at exactly that level: a candidate individual-level failure-appraisal mechanism, proposed to operate at the moment of an adverse assessment experience. It is offered as a complement to programme-level frameworks such as NASSS — a proposed refinement on the user side of such an analysis — not as a replacement for them, and its status remains hypothetical pending confirmatory testing.</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documented non-return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On this account, the psychological cost can outweigh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may not only lower interest but also produce an identity-driven negative reaction.</w:t>
      </w:r>
    </w:p>
    <w:p>
      <w:pPr>
        <w:pStyle w:val="Heading2"/>
      </w:pPr>
      <w:r>
        <w:t>H. Behaviour-Change Lens: COM-B</w:t>
      </w:r>
    </w:p>
    <w:p>
      <w:r>
        <w:t>In COM-B terms (Michie et al., 2011), the adaptive difficulty engine manages capability and on-site deployment provides opportunity; the hypothesised FIAS pattern is located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Shannon's (1948) notion of entropy is invoked here only as a conceptual lens — the idea that a failure event may collapse an initially open set of beliefs about what the outcome means into a single settled conviction — and no entropy quantity is computed or claimed in this study.</w:t>
      </w:r>
    </w:p>
    <w:p>
      <w:pPr>
        <w:pStyle w:val="Heading2"/>
      </w:pPr>
      <w:r>
        <w:t>J. Research Gap</w:t>
      </w:r>
    </w:p>
    <w:p>
      <w:r>
        <w:t>No existing framework covers the full arc from initial adoption through failure to abandonment without documented return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NASSS (Greenhalgh et al., 2017) maps nonadoption and abandonment across users, technology, organisation and context without specifying the individual-level appraisal at the moment of an adverse assessment experience;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stop using a gamified FRA after early failure and show no documented return within the observation window: 70.0% with three or fewer recorded completed runs (95% CI 52.1-83.3%), 26.7% with a single completed run (95% CI 14.2-44.4%), and no later recorded run among the 21 low-engagement participants (95% CI 0.0-15.5%) over eight weeks — including three participants whose recorded balance index improved in their only recorded run. Second, it proposes a mechanistic account — hypothesised, not measured — in which self-efficacy collapse at first failure is consolidated into permanent abandonment by loss aversion, with four falsifiable predictions (H1-H4). Third, it presents a framework for failure-aware coaching in health-assessment gamification, comprising observable risk signals and an intervention specification congruent with COM-B, specified for evaluation in the confirmatory study rather than tested here.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in August 2026, following completion of the June–August 2025 fieldwork; the approval covers the procedures as conducted). [Working-draft note: the exact approval date and the scope wording of the approval memorandum are pending verification against the memo; the application reference number is confirmed.] The procedure itself is reported exactly as conducted. The facility's management, operators and nursing team approved and supported the deployment (gatekeeper consent, recorded); residents were invited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from the sustained participants at the close of the eight-week cycle; all data were pseudonymised at collection, and no identifiers were transmitted to third-party services. Trained facility personnel remained present throughout sessions, with non-slip flooring and grab rails in reach, and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jc w:val="both"/>
      </w:pPr>
      <w:r>
        <w:t>The thirty participants correspond to the study's raw-data archive as follows. The archive workbook holds 32 populated records; two of these, labelled 'Control' in the symptoms column (a man aged 36 and a woman aged 53), are test plays by facility staff/therapists — reference plays recorded to check that the system was operating correctly. They are not study participants and not facility residents in the target group, and they formed no part of any designed comparison: the label reflects record-keeping during system checking, not an experimental control condition, and no controlled comparison is made or implied in this paper. Excluding these two system-check records reproduces the 30-person analytical sample reported throughout. At the archive level, records carry stable pseudonymous participant codes, with the original records retained unchanged.</w:t>
      </w:r>
    </w:p>
    <w:p>
      <w:pPr>
        <w:jc w:val="both"/>
      </w:pPr>
      <w:r>
        <w:t>The deployment window and the subsequent analysis period are distinct phases of the study. The eight-week deployment was conducted between June and August 2025. The months that followed, extending into 2026, formed a data-processing period in which the study records were checked, the results analysed, and the therapists' observations — recorded contemporaneously during the deployment — interpreted. Apart from the post-deployment interviews with the nine sustained participants, conducted one to two days after the eight-week cycle, and the three centre-manager interviews (Section X), this period consisted of record and analysis work only: it involved no participant follow-up and no further participant contact.</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recorded completed runs</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recorded completed runs (exploratory grouping)</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illustrates the presentation across the five difficulty levels; as its caption discloses, the screenshots come from the programme's archived successor build rather than the deployed Stage-2 build itself. Staff were instructed to use phrases such as 'you are practising a new balance skill' in place of 'you are being tested for fall risk'.</w:t>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 the successor build in the same design lineage as the system deployed in this study, not the deployed Stage-2 build itself.</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This layer describes logging capability as designed: the retained study archive preserves completed-cycle counts and session outcomes but no session-level telemetry or timestamps, so the per-cycle quantities listed here characterise the system's design rather than the records retained for analysis (Section VII).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recorded below 'Satisfied' after the first run; no improvement across three consecutive cycles; and participants attributing difficulty to age or physical deterioration. In COM-B terms, coaching addresses reflective motivation through reframing, and staff activation adds social opportunity. Both the risk signals and the coaching and reframing responses are untested intervention hypotheses: none was deployed or evaluated in the present study, and their effects remain to be established in the confirmatory study.</w:t>
      </w:r>
    </w:p>
    <w:p>
      <w:pPr>
        <w:pStyle w:val="Heading1"/>
      </w:pPr>
      <w:r>
        <w:t>VII. 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in addition, a five-point satisfaction rating and a symptom-improvement judgement were recorded once per participant, the former via the after-game paper questionnaire and the latter compiled from therapist observation rather than participant self-report.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participants with one completed run the pair derives from that single recorded play,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the direction of recorded index change was checked against the symptom-improvement entries as part of verification (Section VII-A).</w:t>
      </w:r>
    </w:p>
    <w:p>
      <w:pPr>
        <w:jc w:val="both"/>
      </w:pPr>
      <w:r>
        <w:t>Therapist observations entered the record during the deployment itself. Therapists observed players during gameplay sessions in the course of ordinary facility practice and relayed their observations to the researcher on a near-daily basis across the eight weeks; the researcher recorded these accounts in field notes at the time. The observational record is therefore contemporaneous with the deployment, not a later reconstruction from recall. The therapists kept no written per-participant records of their own; attribution of observations to individual participants was performed by the researcher when compiling the field notes.</w:t>
      </w:r>
    </w:p>
    <w:p>
      <w:pPr>
        <w:jc w:val="both"/>
      </w:pPr>
      <w:r>
        <w:t>Table 2 provides a data dictionary for the archived variables, giving the source of each and the clarifications needed to read it correctly. Three clarifications bear emphasis. First, the exact administered wording, response options and timing of the satisfaction rating have not yet been reproduced from the instrument; the recorded values include 'Very satisfied', 'Satisfied', 'No comments' and 'Dissatisfied', and 'No comments' is not read as a neutral rating. Second, wherever satisfaction enters an analysis as a binary contrast, the second category is defined as all other recorded responses (including 'No comments'), not as 'dissatisfied'. Third, the verified flag records a therapist's check of the recorded contents against their knowledge of the participant: it is an accuracy check on the record, not a measure of self-efficacy or psychological confidence.</w:t>
      </w:r>
    </w:p>
    <w:p>
      <w:pPr/>
      <w:r>
        <w:t>Table 2. Data dictionary for the archived study variables: source and clarifications.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Source</w:t>
            </w:r>
          </w:p>
        </w:tc>
        <w:tc>
          <w:tcPr>
            <w:tcW w:type="dxa" w:w="2880"/>
          </w:tcPr>
          <w:p>
            <w:r>
              <w:rPr>
                <w:b/>
              </w:rPr>
              <w:t>Clarifications</w:t>
            </w:r>
          </w:p>
        </w:tc>
      </w:tr>
      <w:tr>
        <w:tc>
          <w:tcPr>
            <w:tcW w:type="dxa" w:w="2880"/>
          </w:tcPr>
          <w:p>
            <w:r>
              <w:t>Before-game index</w:t>
            </w:r>
          </w:p>
        </w:tc>
        <w:tc>
          <w:tcPr>
            <w:tcW w:type="dxa" w:w="2880"/>
          </w:tcPr>
          <w:p>
            <w:r>
              <w:t>InBody FRA composite index from a standard-mode FRA assessment at the participant's first attendance, before game play (the FRA used without the game link).</w:t>
            </w:r>
          </w:p>
        </w:tc>
        <w:tc>
          <w:tcPr>
            <w:tcW w:type="dxa" w:w="2880"/>
          </w:tcPr>
          <w:p>
            <w:r>
              <w:t>Higher values indicate better performance; the manufacturer calibrates the population average near 70 and reports positive correlations with the Berg Balance Scale and the Short Physical Performance Battery (InBody Co., Ltd., 2022).</w:t>
            </w:r>
          </w:p>
        </w:tc>
      </w:tr>
      <w:tr>
        <w:tc>
          <w:tcPr>
            <w:tcW w:type="dxa" w:w="2880"/>
          </w:tcPr>
          <w:p>
            <w:r>
              <w:t>After-game index</w:t>
            </w:r>
          </w:p>
        </w:tc>
        <w:tc>
          <w:tcPr>
            <w:tcW w:type="dxa" w:w="2880"/>
          </w:tcPr>
          <w:p>
            <w:r>
              <w:t>Game-generated index from the final attended gameplay episode; the dual-purpose input routes the same centre-of-pressure stream into the same measurement engine.</w:t>
            </w:r>
          </w:p>
        </w:tc>
        <w:tc>
          <w:tcPr>
            <w:tcW w:type="dxa" w:w="2880"/>
          </w:tcPr>
          <w:p>
            <w:r>
              <w:t>Recorded for all participants, including those with few completed runs; for one-run participants the before/after pair spans a single attendance, and post-measurement timing varies by participant.</w:t>
            </w:r>
          </w:p>
        </w:tc>
      </w:tr>
      <w:tr>
        <w:tc>
          <w:tcPr>
            <w:tcW w:type="dxa" w:w="2880"/>
          </w:tcPr>
          <w:p>
            <w:r>
              <w:t>Game cycles</w:t>
            </w:r>
          </w:p>
        </w:tc>
        <w:tc>
          <w:tcPr>
            <w:tcW w:type="dxa" w:w="2880"/>
          </w:tcPr>
          <w:p>
            <w:r>
              <w:t>System-recorded count of completed downhill runs; one cycle is one completed run under the five-attempt rule.</w:t>
            </w:r>
          </w:p>
        </w:tc>
        <w:tc>
          <w:tcPr>
            <w:tcW w:type="dxa" w:w="2880"/>
          </w:tcPr>
          <w:p>
            <w:r>
              <w:t>The archive records completed-run counts, not attended visits: runs are not equated with sessions or visits, and incomplete attempts are not separately recorded.</w:t>
            </w:r>
          </w:p>
        </w:tc>
      </w:tr>
      <w:tr>
        <w:tc>
          <w:tcPr>
            <w:tcW w:type="dxa" w:w="2880"/>
          </w:tcPr>
          <w:p>
            <w:r>
              <w:t>Symptom improvement</w:t>
            </w:r>
          </w:p>
        </w:tc>
        <w:tc>
          <w:tcPr>
            <w:tcW w:type="dxa" w:w="2880"/>
          </w:tcPr>
          <w:p>
            <w:r>
              <w:t>Therapist observation (workbook column), relayed to and compiled by the researcher.</w:t>
            </w:r>
          </w:p>
        </w:tc>
        <w:tc>
          <w:tcPr>
            <w:tcW w:type="dxa" w:w="2880"/>
          </w:tcPr>
          <w:p>
            <w:r>
              <w:t>Not a participant self-report measure; reconciliation with the after-game questionnaire remains outstanding.</w:t>
            </w:r>
          </w:p>
        </w:tc>
      </w:tr>
      <w:tr>
        <w:tc>
          <w:tcPr>
            <w:tcW w:type="dxa" w:w="2880"/>
          </w:tcPr>
          <w:p>
            <w:r>
              <w:t>Satisfaction</w:t>
            </w:r>
          </w:p>
        </w:tc>
        <w:tc>
          <w:tcPr>
            <w:tcW w:type="dxa" w:w="2880"/>
          </w:tcPr>
          <w:p>
            <w:r>
              <w:t>Five-point scale rating recorded per participant via the after-game paper questionnaire.</w:t>
            </w:r>
          </w:p>
        </w:tc>
        <w:tc>
          <w:tcPr>
            <w:tcW w:type="dxa" w:w="2880"/>
          </w:tcPr>
          <w:p>
            <w:r>
              <w:t>Recorded values include 'Very satisfied', 'Satisfied', 'No comments' and 'Dissatisfied'; the exact administered wording, response options and timing have not yet been reproduced. 'No comments' is not a neutral rating; binary contrasts use 'Satisfied'/'Very satisfied' versus all other recorded responses.</w:t>
            </w:r>
          </w:p>
        </w:tc>
      </w:tr>
      <w:tr>
        <w:tc>
          <w:tcPr>
            <w:tcW w:type="dxa" w:w="2880"/>
          </w:tcPr>
          <w:p>
            <w:r>
              <w:t>Verified flag</w:t>
            </w:r>
          </w:p>
        </w:tc>
        <w:tc>
          <w:tcPr>
            <w:tcW w:type="dxa" w:w="2880"/>
          </w:tcPr>
          <w:p>
            <w:r>
              <w:t>Therapist check of the recorded contents (including improvement and cycle counts) against their knowledge of the participant.</w:t>
            </w:r>
          </w:p>
        </w:tc>
        <w:tc>
          <w:tcPr>
            <w:tcW w:type="dxa" w:w="2880"/>
          </w:tcPr>
          <w:p>
            <w:r>
              <w:t>An accuracy check on the record, not a measure of self-efficacy or psychological confidence; one study record could not be verified.</w:t>
            </w:r>
          </w:p>
        </w:tc>
      </w:tr>
    </w:tbl>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the recorded symptom-improvement entries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reproduced at 70.0% (95% CI 52.1-83.3%) and the single-completed-run rate at 26.7% (95% CI 14.2-44.4%); (4) the satisfaction association with sustained engagement was confirmed (9/9 versus 11/21; Fisher's exact p = 0.013).</w:t>
      </w:r>
    </w:p>
    <w:p>
      <w:pPr>
        <w:jc w:val="both"/>
      </w:pPr>
      <w:r>
        <w:t>A per-record verification flag complements these checks: the therapist reviewed each record's contents, including the symptom-improvement entry and the completed-cycle count, against their knowledge of the participant; the flag records whether a record's contents could be checked, not any psychological attribute of the participant. One study record could not be verified — that of a female participant aged 72, with one completed run, a recorded index change from 35 to 38, and a recorded satisfaction rating of 'Dissatisfied'. Her subsequent identification and location for verification could not be completed, the reason for her non-return is unknown, and no inference about that reason is drawn; in particular, this case is not treated as evidence of failure-induced abandonment. The record is retained in the primary analysis because eligibility follows the provenance of the record — it originates from an attended study session — and not the favourability of its values.</w:t>
      </w:r>
    </w:p>
    <w:p>
      <w:pPr>
        <w:jc w:val="both"/>
      </w:pPr>
      <w:r>
        <w:t>A sensitivity analysis was computed with and without this record. With all thirty records, the mean FRA index change is +4.03 points (95% CI 0.47–7.60; paired t p = 0.028) and the satisfaction–sustained-engagement association gives Fisher's exact p = 0.013; excluding the unverified record (n = 29), the corresponding values are +4.07 points (95% CI 0.38–7.76; p = 0.032) and p = 0.027. The pattern is similar under both analyses, and the primary analysis reports all thirty records.</w:t>
      </w:r>
    </w:p>
    <w:p>
      <w:pPr/>
      <w:r>
        <w:t>Table 3. Sensitivity analysis of the principal statistics with and without the unverified record. The primary analysis retains all thirty records; eligibility follows record provenance, not the favourability of values.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Statistic</w:t>
            </w:r>
          </w:p>
        </w:tc>
        <w:tc>
          <w:tcPr>
            <w:tcW w:type="dxa" w:w="2880"/>
          </w:tcPr>
          <w:p>
            <w:r>
              <w:rPr>
                <w:b/>
              </w:rPr>
              <w:t>All records (n = 30)</w:t>
            </w:r>
          </w:p>
        </w:tc>
        <w:tc>
          <w:tcPr>
            <w:tcW w:type="dxa" w:w="2880"/>
          </w:tcPr>
          <w:p>
            <w:r>
              <w:rPr>
                <w:b/>
              </w:rPr>
              <w:t>Unverified record excluded (n = 29)</w:t>
            </w:r>
          </w:p>
        </w:tc>
      </w:tr>
      <w:tr>
        <w:tc>
          <w:tcPr>
            <w:tcW w:type="dxa" w:w="2880"/>
          </w:tcPr>
          <w:p>
            <w:r>
              <w:t>Mean FRA index change (points)</w:t>
            </w:r>
          </w:p>
        </w:tc>
        <w:tc>
          <w:tcPr>
            <w:tcW w:type="dxa" w:w="2880"/>
          </w:tcPr>
          <w:p>
            <w:r>
              <w:t>+4.03</w:t>
            </w:r>
          </w:p>
        </w:tc>
        <w:tc>
          <w:tcPr>
            <w:tcW w:type="dxa" w:w="2880"/>
          </w:tcPr>
          <w:p>
            <w:r>
              <w:t>+4.07</w:t>
            </w:r>
          </w:p>
        </w:tc>
      </w:tr>
      <w:tr>
        <w:tc>
          <w:tcPr>
            <w:tcW w:type="dxa" w:w="2880"/>
          </w:tcPr>
          <w:p>
            <w:r>
              <w:t>95% CI for mean change</w:t>
            </w:r>
          </w:p>
        </w:tc>
        <w:tc>
          <w:tcPr>
            <w:tcW w:type="dxa" w:w="2880"/>
          </w:tcPr>
          <w:p>
            <w:r>
              <w:t>0.47–7.60</w:t>
            </w:r>
          </w:p>
        </w:tc>
        <w:tc>
          <w:tcPr>
            <w:tcW w:type="dxa" w:w="2880"/>
          </w:tcPr>
          <w:p>
            <w:r>
              <w:t>0.38–7.76</w:t>
            </w:r>
          </w:p>
        </w:tc>
      </w:tr>
      <w:tr>
        <w:tc>
          <w:tcPr>
            <w:tcW w:type="dxa" w:w="2880"/>
          </w:tcPr>
          <w:p>
            <w:r>
              <w:t>Paired t test, p</w:t>
            </w:r>
          </w:p>
        </w:tc>
        <w:tc>
          <w:tcPr>
            <w:tcW w:type="dxa" w:w="2880"/>
          </w:tcPr>
          <w:p>
            <w:r>
              <w:t>0.028</w:t>
            </w:r>
          </w:p>
        </w:tc>
        <w:tc>
          <w:tcPr>
            <w:tcW w:type="dxa" w:w="2880"/>
          </w:tcPr>
          <w:p>
            <w:r>
              <w:t>0.032</w:t>
            </w:r>
          </w:p>
        </w:tc>
      </w:tr>
      <w:tr>
        <w:tc>
          <w:tcPr>
            <w:tcW w:type="dxa" w:w="2880"/>
          </w:tcPr>
          <w:p>
            <w:r>
              <w:t>Satisfaction–sustained-engagement association (Fisher's exact test), p</w:t>
            </w:r>
          </w:p>
        </w:tc>
        <w:tc>
          <w:tcPr>
            <w:tcW w:type="dxa" w:w="2880"/>
          </w:tcPr>
          <w:p>
            <w:r>
              <w:t>0.013</w:t>
            </w:r>
          </w:p>
        </w:tc>
        <w:tc>
          <w:tcPr>
            <w:tcW w:type="dxa" w:w="2880"/>
          </w:tcPr>
          <w:p>
            <w:r>
              <w:t>0.027</w:t>
            </w:r>
          </w:p>
        </w:tc>
      </w:tr>
    </w:tbl>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the satisfaction contrast compares recorded ratings of 'Satisfied' or 'Very satisfied' with all other recorded responses (including 'No comments'), not with 'dissatisfied' (Section VII). No time-to-event modelling is used or reported (Section VII-A).</w:t>
      </w:r>
    </w:p>
    <w:p>
      <w:pPr>
        <w:pStyle w:val="Heading2"/>
      </w:pPr>
      <w:r>
        <w:t>B. Recorded Balance-Index Changes</w:t>
      </w:r>
    </w:p>
    <w:p>
      <w:r>
        <w:rPr>
          <w:i/>
          <w:sz w:val="18"/>
        </w:rPr>
        <w:t>Table 4. Recorded FRA index changes,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Improvement (therapist-observed)</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4 reports the recorded index changes for the nine participants who sustained engagement (≥ 4 completed runs — an exploratory grouping, formalised retrospectively around the protocol's three-to-five-play lower bound); this subgroup is defined by subsequent participation rather than by prior assignment, so its favourable changes cannot be read apart from that selection. Across the full sample of thirty, the paired change was +4.0 points (95% CI 0.5-7.6; dz = 0.42, 95% CI 0.05-0.79); this sample includes one record that could not be verified (Section VII-A), and the sensitivity analysis reported there shows a similar pattern with that record excluded (n = 29: +4.07 points, 95% CI 0.38-7.76; p = 0.032). As noted in Section VII, the paired values arise under different task conditions — a standard-mode assessment at first attendance against the game-generated index from the final attended play — so the recorded change contains any context effect alongside balance change, and exposure duration and endpoint timing differ across participants. A within-deployment change of this size may further include measurement variation, familiarisation and practice effects. Because this was a single-group observational deployment, the design does not isolate the causal effect of gamification; the figures are therefore reported as recorded changes, and a favourable difference does not of itself demonstrate a clinically meaningful benefit.</w:t>
      </w:r>
    </w:p>
    <w:p>
      <w:r>
        <w:rPr>
          <w:i/>
          <w:sz w:val="18"/>
        </w:rPr>
        <w:t>Table 5. Recorded FRA index changes,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Improvement (therapist-observed)</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5 reports the low-engagement group: despite minimal engagement, it shows a mean change of +2.8 points with high variability. Only 52% have a recorded rating of Satisfied or better or a therapist-observed improvement entry, against 100% of sustained participants — satisfaction and sustained engagement are strongly associated (Fisher's exact p = 0.013).</w:t>
      </w:r>
    </w:p>
    <w:p>
      <w:pPr>
        <w:pStyle w:val="Heading2"/>
      </w:pPr>
      <w:r>
        <w:t>C. The Engagement and Non-Return Pattern</w:t>
      </w:r>
    </w:p>
    <w:p>
      <w:r>
        <w:rPr>
          <w:i/>
          <w:sz w:val="18"/>
        </w:rPr>
        <w:t>Table 6.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Of the 21 low-engagement participants, none has a later recorded run within the eight-week window. This absence of documented return within the window distinguishes the pattern from typical usage attrition, in which some users return (Eysenbach, 2005). Eight participants (26.7%) have a single recorded completed run (Figure 5). No time-to-event model is reported: the archive preserves cycle counts, not timestamps. The evidential core of the pattern is carried by the three directly observed quantities in Table 6 and by the satisfaction association above.</w:t>
      </w:r>
    </w:p>
    <w:p>
      <w:r>
        <w:rPr>
          <w:i/>
          <w:sz w:val="18"/>
        </w:rPr>
        <w:t>Figure 5. Participant flow (N = 30). Twenty-one participants had three or fewer recorded completed runs, including eight with a single completed run; six formed the F4 cluster, of whom three recorded an improved FRA index in their only recorded run and still never returned. No later recorded run was observed among the 21 (0 of 21).</w:t>
      </w:r>
    </w:p>
    <w:p>
      <w:pPr>
        <w:pStyle w:val="Heading1"/>
      </w:pPr>
      <w:r>
        <w:t>IX. Qualitative Coding and the FIAS Composite</w:t>
      </w:r>
    </w:p>
    <w:p>
      <w:r>
        <w:t>All 30 participants were coded with thirteen binary attributes (Table 7) drawn from STAM constructs and selected Octalysis drives, collapsed onto a 0-10 composite. The composite is a descriptive case-identification device and carries no evidential weight: several attributes record engagement and exit behaviour, so a participant who left early necessarily scores high, and the clustering of the F4 group at the top of the scale is partly true by construction. The attribute labels borrow construct names from STAM and Octalysis as organisational shorthand only: each coding rule operates on recorded behavioural fields — cycle counts, satisfaction ratings, recorded improvement and the therapist verification flag — and none of these fields measures the named psychological construct. The verification flag, in particular, records the therapist's check of recorded contents against their knowledge of the participant, not participant confidence or self-efficacy; no psychological state is inferred from cycle counts or satisfaction ratings in any evidential claim. Every evidential statement in this paper rests on directly observed behaviour — completed-run counts, documented non-return within the window, and the divergence between recorded score direction and return.</w:t>
      </w:r>
    </w:p>
    <w:p>
      <w:r>
        <w:rPr>
          <w:i/>
          <w:sz w:val="18"/>
        </w:rPr>
        <w:t>Table 7.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recorded as Dissatisfied OR (1 completed run AND no observed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Runs ≤ 2 AND no observed improvement AND satisfaction not recorded as Satisfied/Very satisfied</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8.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8;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Qualitative Record and the F4 Interview Protocol (Designed, Not Administered)</w:t>
      </w:r>
    </w:p>
    <w:p>
      <w:pPr>
        <w:jc w:val="both"/>
      </w:pPr>
      <w:r>
        <w:t>The qualitative record on the persistence side comprises the post-deployment interviews with the nine sustained participants, conducted one to two days after the eight-week cycle using a paper interview questionnaire (Mandarin or Cantonese at the participant's preference; the researcher's contemporaneous notes are the primary record), together with three centre-manager interviews. The instrument's structure is documented in the author's entry-and-results record (archived with the study data): nine items - memorable experience (free text); enjoyment, FRA usefulness and discouragement (1-5); steering confidence and recovery confidence (0-10); play-again and FRA-again willingness; and reasons (free text). Entered ratings: enjoyment mean 4.3, usefulness 4.7, discouragement 1.9, steering confidence 7.4, recovery confidence 7.7; nine of nine would play again and nine of nine were willing to continue with the FRA. Two of the nine spontaneously remarked that they did not understand why others would not try the system; four criticised the visuals as weak or childish while rating the experience highly; and one record contains an internal contradiction between a disclaimed and an endorsed usefulness judgement, retained as recorded. The exact administered wording awaits verification against the paper forms. These interviews describe the experience of persistence only; they cannot establish the internal reasons of participants who discontinued.</w:t>
      </w:r>
    </w:p>
    <w:p>
      <w:r>
        <w:t>A nine-question semi-structured interview protocol was designed for F4-cluster participants, to probe within days of a participant's last recorded run whether the decision to stop was immediate or deliberate (Table 9); questions 3 and 4 address H2 and H3, question 7 addresses H4, and question 9 probes domain reframing. The protocol was not administered in the present deployment - the F4 residents' negative reaction to the experience made a research interview inappropriate at the time - and no F4 interview data exist; it is specified for the confirmatory study. The deployment's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 Themes were developed by the researcher from the contemporaneous field notes, compiled through near-daily contact with the therapists over the eight weeks; reported speech from the field notes and interview records is paraphrase unless explicitly marked as verbatim, and observations that run against the proposed mechanism are retained rather than reconciled away (Table 8). Because the sustained-participant interviews sample only those who continued — a subgroup defined by the outcome itself — their content can inform an account of persistence; it cannot establish the internal reasons of the participants who discontinued, which remain undocumented in this deployment and are assigned to the confirmatory study's interview protocol.</w:t>
      </w:r>
    </w:p>
    <w:p>
      <w:r>
        <w:rPr>
          <w:i/>
          <w:sz w:val="18"/>
        </w:rPr>
        <w:t>Table 9.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nine who sustained engagement — a subgroup defined by subsequent participation — the recorded change was +6.9 FRA index points (95% CI 4.5-9.3; dz = 2.22), with all nine satisfied or very satisfied; across all thirty, +4.0 points (95% CI 0.5-7.6). These are recorded within-deployment changes rather than demonstrated effects of gamification: the design does not isolate gamification's causal contribution, and a favourable recorded difference does not of itself demonstrate clinically meaningful benefit (Section VIII-B).</w:t>
      </w:r>
    </w:p>
    <w:p>
      <w:pPr>
        <w:pStyle w:val="Heading2"/>
      </w:pPr>
      <w:r>
        <w:t>B. RQ2: Why Does Abandonment Persist?</w:t>
      </w:r>
    </w:p>
    <w:p>
      <w:r>
        <w:t>The pattern has three defining features. It is early: 70.0% of participants have three or fewer recorded completed runs, and 26.7% have one. It is absolute within the window: none of the 21 has a later recorded run (95% CI 0.0-15.5%), unlike ordinary usage attrition (Eysenbach, 2005). And it is not accounted for by satisfaction ratings alone: although satisfaction and engagement are strongly associated (p = 0.013), three F4 participants improved on the recorded index in their only recorded run and still never returned. Practical obstacles — usability, staffing, cost, scheduling — do not explain a pattern in which the technology was free, supervised, on site, and in documented cases the recorded index had risen for the person who walked away. The evidence is consistent with a psychological mechanism attached to the meaning of failure. The field notes additionally record the sequence in which the pattern unfolded: several players acknowledged the FRA's benefits and recorded index gains, encountered recurring in-game failures across their second and third cycles, and gave up despite the gains; and as dropouts accumulated, remaining players saw the thinning group, which contributed to further abandonment (field-note record retrieved from the archive during verification; a qualitative sequence, not an instrumented measure).</w:t>
      </w:r>
    </w:p>
    <w:p>
      <w:pPr>
        <w:jc w:val="both"/>
      </w:pPr>
      <w:r>
        <w:t>Table 10 assembles this qualitative record systematically, pairing each finding with the record that supports it and with the principal alternative interpretation. The designed F4 interview protocol was never administered (Section X), so no F4 interview material appears; contradictory cases are retained in the table rather than reconciled away.</w:t>
      </w:r>
    </w:p>
    <w:p>
      <w:pPr/>
      <w:r>
        <w:t>Table 10. Qualitative findings, supporting records, and alternative interpretations.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Finding</w:t>
            </w:r>
          </w:p>
        </w:tc>
        <w:tc>
          <w:tcPr>
            <w:tcW w:type="dxa" w:w="2880"/>
          </w:tcPr>
          <w:p>
            <w:r>
              <w:rPr>
                <w:b/>
              </w:rPr>
              <w:t>Supporting record</w:t>
            </w:r>
          </w:p>
        </w:tc>
        <w:tc>
          <w:tcPr>
            <w:tcW w:type="dxa" w:w="2880"/>
          </w:tcPr>
          <w:p>
            <w:r>
              <w:rPr>
                <w:b/>
              </w:rPr>
              <w:t>Alternative interpretation</w:t>
            </w:r>
          </w:p>
        </w:tc>
      </w:tr>
      <w:tr>
        <w:tc>
          <w:tcPr>
            <w:tcW w:type="dxa" w:w="2880"/>
          </w:tcPr>
          <w:p>
            <w:r>
              <w:t>Collapse sequence: players acknowledged the FRA’s benefits and recorded index gains, met recurring in-game failures across their second and third runs, and gave up despite the gains.</w:t>
            </w:r>
          </w:p>
        </w:tc>
        <w:tc>
          <w:tcPr>
            <w:tcW w:type="dxa" w:w="2880"/>
          </w:tcPr>
          <w:p>
            <w:r>
              <w:t>Contemporaneous researcher field notes, compiled from near-daily therapist reports during the eight-week window; a qualitative sequence with no per-participant counts.</w:t>
            </w:r>
          </w:p>
        </w:tc>
        <w:tc>
          <w:tcPr>
            <w:tcW w:type="dxa" w:w="2880"/>
          </w:tcPr>
          <w:p>
            <w:r>
              <w:t>Ordinary attrition (novelty wear-off) coinciding with the second and third runs; the ordering rests on the note-taker’s account, not on instrumented timing.</w:t>
            </w:r>
          </w:p>
        </w:tc>
      </w:tr>
      <w:tr>
        <w:tc>
          <w:tcPr>
            <w:tcW w:type="dxa" w:w="2880"/>
          </w:tcPr>
          <w:p>
            <w:r>
              <w:t>Visible-dropout social channel: remaining players saw the group thinning as dropouts accumulated, which contributed to further abandonment.</w:t>
            </w:r>
          </w:p>
        </w:tc>
        <w:tc>
          <w:tcPr>
            <w:tcW w:type="dxa" w:w="2880"/>
          </w:tcPr>
          <w:p>
            <w:r>
              <w:t>Same field-note record, retrieved from the archive during verification.</w:t>
            </w:r>
          </w:p>
        </w:tc>
        <w:tc>
          <w:tcPr>
            <w:tcW w:type="dxa" w:w="2880"/>
          </w:tcPr>
          <w:p>
            <w:r>
              <w:t>A collective, socially shared narrative about the station (Section XII); visible thinning may reflect, rather than cause, exit decisions already made.</w:t>
            </w:r>
          </w:p>
        </w:tc>
      </w:tr>
      <w:tr>
        <w:tc>
          <w:tcPr>
            <w:tcW w:type="dxa" w:w="2880"/>
          </w:tcPr>
          <w:p>
            <w:r>
              <w:t>Verdict-fear stance: ‘the game is fun… but I do not want it telling me where my health problems are’ — a paraphrase from the researcher’s notes, not a verbatim quotation.</w:t>
            </w:r>
          </w:p>
        </w:tc>
        <w:tc>
          <w:tcPr>
            <w:tcW w:type="dxa" w:w="2880"/>
          </w:tcPr>
          <w:p>
            <w:r>
              <w:t>Stage-2 interview record (researcher’s notes as the primary record).</w:t>
            </w:r>
          </w:p>
        </w:tc>
        <w:tc>
          <w:tcPr>
            <w:tcW w:type="dxa" w:w="2880"/>
          </w:tcPr>
          <w:p>
            <w:r>
              <w:t>The interview record reaches sustained participants and centre managers only; the stance shows the salience of the clinical frame but cannot establish the internal reasons of those who discontinued.</w:t>
            </w:r>
          </w:p>
        </w:tc>
      </w:tr>
      <w:tr>
        <w:tc>
          <w:tcPr>
            <w:tcW w:type="dxa" w:w="2880"/>
          </w:tcPr>
          <w:p>
            <w:r>
              <w:t>Satisfaction and observed symptom improvement tracked engagement: 9/9 sustained participants recorded satisfied or very satisfied, against 11/21 in the low-engagement group.</w:t>
            </w:r>
          </w:p>
        </w:tc>
        <w:tc>
          <w:tcPr>
            <w:tcW w:type="dxa" w:w="2880"/>
          </w:tcPr>
          <w:p>
            <w:r>
              <w:t>Symptom-improvement entries compiled by the researcher from therapists’ near-daily verbal reports (therapists kept no written per-participant records); satisfaction ratings from the after-game questionnaire.</w:t>
            </w:r>
          </w:p>
        </w:tc>
        <w:tc>
          <w:tcPr>
            <w:tcW w:type="dxa" w:w="2880"/>
          </w:tcPr>
          <w:p>
            <w:r>
              <w:t>Selection by outcome: the association may run in reverse, longer participation giving more opportunity for improvement and a positive rating; individual attribution of therapist observations was performed by the researcher at compilation.</w:t>
            </w:r>
          </w:p>
        </w:tc>
      </w:tr>
      <w:tr>
        <w:tc>
          <w:tcPr>
            <w:tcW w:type="dxa" w:w="2880"/>
          </w:tcPr>
          <w:p>
            <w:r>
              <w:t>Gains without return: most low-engagement participants left despite recorded index gains (group mean +2.8), and three F4-cluster members recorded an improved index in their single completed run yet did not return within the observation window.</w:t>
            </w:r>
          </w:p>
        </w:tc>
        <w:tc>
          <w:tcPr>
            <w:tcW w:type="dxa" w:w="2880"/>
          </w:tcPr>
          <w:p>
            <w:r>
              <w:t>Workbook index records paired with documented non-return within the observation window (no later recorded runs, corroborated by field observation).</w:t>
            </w:r>
          </w:p>
        </w:tc>
        <w:tc>
          <w:tcPr>
            <w:tcW w:type="dxa" w:w="2880"/>
          </w:tcPr>
          <w:p>
            <w:r>
              <w:t>Recorded gains of this size may reflect measurement variation or familiarisation; and because no clinical numbers were shown on the play screen, non-return need not have been decided in knowledge of the recorded gain.</w:t>
            </w:r>
          </w:p>
        </w:tc>
      </w:tr>
      <w:tr>
        <w:tc>
          <w:tcPr>
            <w:tcW w:type="dxa" w:w="2880"/>
          </w:tcPr>
          <w:p>
            <w:r>
              <w:t>Sustained-side puzzlement at non-participation: two of nine interviewees said they did not know why others would not try</w:t>
            </w:r>
          </w:p>
        </w:tc>
        <w:tc>
          <w:tcPr>
            <w:tcW w:type="dxa" w:w="2880"/>
          </w:tcPr>
          <w:p>
            <w:r>
              <w:t>Sustained-participant interview entry record (nine records; archived 10 September 2026)</w:t>
            </w:r>
          </w:p>
        </w:tc>
        <w:tc>
          <w:tcPr>
            <w:tcW w:type="dxa" w:w="2880"/>
          </w:tcPr>
          <w:p>
            <w:r>
              <w:t>Politeness or interviewer effect; a sustained-only view that cannot describe non-participants' reasons</w:t>
            </w:r>
          </w:p>
        </w:tc>
      </w:tr>
      <w:tr>
        <w:tc>
          <w:tcPr>
            <w:tcW w:type="dxa" w:w="2880"/>
          </w:tcPr>
          <w:p>
            <w:r>
              <w:t>Aesthetic criticism co-existing with satisfaction: four of nine criticised the visuals as weak or childish while rating enjoyment 4-5</w:t>
            </w:r>
          </w:p>
        </w:tc>
        <w:tc>
          <w:tcPr>
            <w:tcW w:type="dxa" w:w="2880"/>
          </w:tcPr>
          <w:p>
            <w:r>
              <w:t>Same interview entry record</w:t>
            </w:r>
          </w:p>
        </w:tc>
        <w:tc>
          <w:tcPr>
            <w:tcW w:type="dxa" w:w="2880"/>
          </w:tcPr>
          <w:p>
            <w:r>
              <w:t>Cohort-specific taste; consistent with the infantilisation risk raised in expert consultation, but not evidence of its behavioural effect</w:t>
            </w:r>
          </w:p>
        </w:tc>
      </w:tr>
    </w:tbl>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documented non-return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E. A Knowledge-Management Reading: Four Unresolved Links</w:t>
      </w:r>
    </w:p>
    <w:p>
      <w:pPr>
        <w:jc w:val="both"/>
      </w:pPr>
      <w:r>
        <w:t>Read in knowledge-management terms, the deployment shows how far along its intended path the assessment knowledge can be traced and where the record stops. Generation and capture were built into the architecture: the same centre-of-pressure stream that steered the game was converted into FRA indices exported for therapist review, so creation and codification were carried by the system itself. From that point onward, however, four links in the knowledge chain were not individually recorded: what the therapist learned from each participant's assessment output; what, if anything, was communicated back to the participant; how the participant responded to any such communication; and whether that response connected to the participant's later participation. These links are stated here as unresolved questions, not findings. In particular, non-return does not by itself establish that a participant rejected the clinical knowledge the system produced: a person may stop playing while accepting the assessment's content, or keep playing while discounting it, and the archived records cannot distinguish these cases.</w:t>
      </w:r>
    </w:p>
    <w:p>
      <w:pPr>
        <w:jc w:val="both"/>
      </w:pPr>
      <w:r>
        <w:t>What the study adds to knowledge management is therefore a located problem rather than a resolved mechanism. In a system where knowledge generation is automatic, the least documented links were the interpretive and communicative ones between clinician and older user — and it is precisely at the moment of an adverse assessment experience, where the FIDS-FIAS account places its candidate mechanism, that those links would matter most. Recording each link explicitly — what is communicated, how it is received, and what follows — is added to the requirements of the confirmatory programme. This positioning also clarifies the relation to NASSS (Greenhalgh et al., 2017): NASSS supplies the programme-level map of nonadoption and abandonment across users, technology, organisation and context; FIDS-FIAS, if supported, would contribute one individual-level failure-appraisal mechanism within that map. The two operate at different levels and are complementary.</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One further record is reported as unverified (Section VII-A): the participant could not subsequently be identified and located for verification, and the reason for her non-return is unknown. The record is retained in the primary analysis on provenance grounds, is not cited as evidence of failure-induced abandonment, and the sensitivity analysis in Section VII-A shows a similar pattern with and without it (+4.03 versus +4.07 points; Fisher's exact p = 0.013 versus 0.027).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recorded runs clustered at three or fewer, none of the 21 low-engagement participants has a later recorded run,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One strand of it is nonetheless anchored by a recorded field observation: the investigator's field notes record that remaining players, seeing that many peers had stopped attending, moved toward abandonment themselves - a field-note record retrieved from the archive during verification, not an instrumented measure.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1"/>
      </w:pPr>
      <w:r>
        <w:t>XIII. Design Implications for Practitioners</w:t>
      </w:r>
    </w:p>
    <w:p>
      <w:r>
        <w:t>Four principles follow. They are practice heuristics motivated by the present observations rather than tested interventions: the coaching and reframing elements in particular have not been evaluated and await the confirmatory study.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proposed FIAS risk signals during sessions (satisfaction recorded below 'Satisfied' after the first run;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The 'entropy constraint' named in this section's title is retained as a conceptual label only, for a structural property of any system that couples play with assessment: when game performance and clinical assessment share one physical action, failure in the game can acquire meaning about the participant's health, and domain reframing aims to confine the meaning of failure to the game domain. No information-theoretic quantity is computed or claimed, and the constraint functions here as a design consideration for the confirmatory study, not as a tested model.</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single-completed-run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Among participants who sustained engagement — a subgroup defined by subsequent participation — the recorded balance index changed by +6.9 points on average (95% CI 4.5-9.3; dz = 2.22), with all nine satisfied or very satisfied; these are recorded changes under a single-group design that does not isolate the causal effect of gamification, not a demonstration that gamification improved balance. But 70.0% never passed three cycles, 26.7% stopped after their first session, no participant returned after disengaging — and three participants whose recorded index improved in their only recorded run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Declarations</w:t>
      </w:r>
    </w:p>
    <w:p>
      <w:pPr>
        <w:jc w:val="both"/>
      </w:pPr>
      <w:r>
        <w:t>Funding. [FUNDING STATEMENT TO BE CONFIRMED BY THE AUTHORS: no external funding or programme support has been recorded for this study — please confirm, or supply the applicable funding acknowledgement.]</w:t>
      </w:r>
    </w:p>
    <w:p>
      <w:pPr>
        <w:jc w:val="both"/>
      </w:pPr>
      <w:r>
        <w:t>Conflicts of interest. [CONFLICTS-OF-INTEREST STATEMENT TO BE CONFIRMED BY THE AUTHORS: the first author is a part-time EngD candidate; the study was conducted in partnership with an industrial partner (Dr Migar), and the characterisation of that relationship is at draft-review level — please confirm the final wording, including any interests arising from the industrial partnership.]</w:t>
      </w:r>
    </w:p>
    <w:p>
      <w:pPr>
        <w:jc w:val="both"/>
      </w:pPr>
      <w:r>
        <w:t>Data availability. The pseudonymised participant-level dataset underlying this paper is archived with the first author's thesis (Appendix G, item G.2) and is available from the corresponding author on reasonable request, subject to the ethics constraints governing the study.</w:t>
      </w:r>
    </w:p>
    <w:p>
      <w:pPr>
        <w:jc w:val="both"/>
      </w:pPr>
      <w:r>
        <w:t>Use of artificial intelligence. Anthropic's Claude Code was used as an engineering assistant during system development; the engineering decisions remain the developers' own. AI-assisted drafting and editing tools were also used in the preparation of this manuscript; all AI-assisted text was reviewed, verified and approved by the authors, who take full responsibility for the content.</w:t>
      </w:r>
    </w:p>
    <w:p>
      <w:pPr>
        <w:jc w:val="both"/>
      </w:pPr>
      <w:r>
        <w:t>Related publications. Paper SS-293 (Tam &amp; Cheung, 2026), accepted at ICMSS 2026, reports the Stage-1 critical review of the wider research programme; a companion manuscript reports the Stage-3 decoupled deployment; the present paper reports the Stage-2 gamified deployment. No results are duplicated across the three manuscripts.</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pPr>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 https://doi.org/10.2196/jmir.8775</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a Proactive Approach (JIKM submission)</dc:title>
  <dc:subject/>
  <dc:creator/>
  <cp:keywords/>
  <dc:description>JIKM build from KM-framed manuscript; F4 and ethics corrected; unblinded.</dc:description>
  <cp:lastModifiedBy/>
  <cp:revision>1</cp:revision>
  <dcterms:created xsi:type="dcterms:W3CDTF">2013-12-23T23:15:00Z</dcterms:created>
  <dcterms:modified xsi:type="dcterms:W3CDTF">2013-12-23T23:15:00Z</dcterms:modified>
  <cp:category/>
</cp:coreProperties>
</file>