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(in-session retention 85.4% in the 65-80 band), with 15 of 23 initial dropouts returning voluntarily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highlight w:val="yellow"/>
        </w:rPr>
        <w:t xml:space="preserve"> [AUTHOR CHECK: confirm the Figure 1.1 graphic was regenerated for the title-aligned caption and carries no later-chapter construct names.]</w:t>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highlight w:val="yellow"/>
        </w:rPr>
        <w:t>[AUTHOR INPUT NEEDED: exact installation year]</w:t>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can close any gap between what participants endorse and what they sustain; that question is examined from Chapter 6 onward.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what does this add to an application of acceptance and gamification perspectives?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supports evaluation of subsequent innovation?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the figures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Whether the implemented design realised that expectation is examined prospectively in Chapter 5,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to examine whether engagement in a separate, decoupled implementation is consistent with the frame-sensitive explanation generated after Stage 2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0.0% (25–44) vs 39.0% (65–80), Fisher's exact p &lt; 0.0001;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August 2026</w:t>
            </w:r>
          </w:p>
        </w:tc>
        <w:tc>
          <w:tcPr>
            <w:tcW w:type="dxa" w:w="1994"/>
          </w:tcPr>
          <w:p>
            <w:r>
              <w:t>§3.4</w:t>
            </w:r>
          </w:p>
        </w:tc>
      </w:tr>
      <w:tr>
        <w:trPr>
          <w:cantSplit/>
        </w:trP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r>
        <w:t xml:space="preserve"> The chronology is stated plainly: the application was submitted on 6 August 2026, after the field stages had been conducted, and the approval was granted retrospectively, covering the procedures as conducted and described in this section.</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Throughout the eight weeks the therapists spoke with players in the course of ordinary facility practice and reported their observations - including expressed satisfaction and perceived symptom change - to the researcher, who visited or telephoned the facility on a near-daily basis and recorded those reports in field notes. The therapists kept no written per-participant records; the individual attribution of satisfaction and symptom entries in the Stage-2 dataset was therefore performed by the researcher when compiling the field notes. </w:t>
      </w:r>
      <w:r>
        <w:rPr>
          <w:highlight w:val="yellow"/>
        </w:rPr>
        <w:t>[AUTHOR CHECK - reconcile with the existing description of after-game paper questionnaires (Appendix C, §5.4): who, if anyone, completed paper instruments, and for which participants?]</w:t>
      </w:r>
      <w:r>
        <w:t xml:space="preserve"> The satisfaction and symptom variables are accordingly therapist-mediated, researcher-compiled observational data, gathered under the facility's routine care relationship and the gatekeeper arrangement described above - not responses to a self-administered research instrument - and §5.5 carries the corresponding measurement caution.</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highlight w:val="yellow"/>
        </w:rPr>
        <w:t>[AUTHOR INPUT NEEDED: confirm per-generation development dates and tooling - which build generations (early prototype, deployed Stage-2 build, Stage-3 HTML port, v2.x, v3.x) were developed with which tools and when - for the build-lineage matrix in Appendix G.]</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pre-registered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 xml:space="preserve">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w:t>
      </w:r>
      <w:r>
        <w:rPr>
          <w:highlight w:val="yellow"/>
        </w:rPr>
      </w:r>
      <w:r/>
      <w:r>
        <w:rPr>
          <w:highlight w:val="yellow"/>
        </w:rPr>
        <w:t>[AUTHOR CHECK - probable reading to confirm: the 'before' value is the standard FRA assessment taken at invitation/enrolment, before game play began. Also supply, if known, how many residents were invited before thirty joined - the majority's refusal at invitation, by residents who knew the FRA well, is itself a recorded observation of anticipatory avoidance (cf. §4.1A) and belongs in the recruitment-flow account.]</w:t>
      </w:r>
      <w:r>
        <w:t xml:space="preserve"> Two consequences are stated plainly: the post-measurement time varies across participants - it is each participant's last play, not a fixed end-of-window date - so pre/post changes span different exposure durations; and for single-session participants the recorded change derives from within that single session. No claim of uniform eight-week change is made.</w:t>
      </w:r>
    </w:p>
    <w:p>
      <w:pPr>
        <w:jc w:val="both"/>
      </w:pPr>
      <w:r>
        <w:t>A corresponding caution attaches to the satisfaction and symptom variables. As §3.4 records, they are therapist-mediated and researcher-compiled rather than self-administered: therapists reported their observations in ordinary practice, and the researcher attributed values to individuals when compiling near-daily field notes. A single, unblinded compiler performing individual attribution is a real limitation - recall and expectancy effects cannot be excluded - so the satisfaction-engagement association reported below (Fisher's exact p = 0.013) is read as an observed association in compiled field data, not as an instrumented self-report result; the confirmatory study replaces this pathway with self-administered instruments at pre-specified times.</w:t>
      </w:r>
      <w:r>
        <w:t xml:space="preserve">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trajectory display (L5), the coin-reward loop and the staff coaching protocol (L6).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(L2)</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(L5)</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(L6)</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reported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reported retention was 85.4% and stated regular-use intention was 56.1%, a difference of 29.3 percentage points. These are marginal proportions for different constructs: observed retention and hypothetical future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specifies a comparison; it does not report one. The comparison has not been executed, and the quantitative advantage of the FIAS-augmented specification is therefore hypothesised, not demonstrated. This section records a prospective analysis architecture;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Scientific</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proposed touch-input component study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confirmatory programme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is described in the forward programme as a 2×2 component experiment crossing adaptive against static presentation with zero-failure against failure-possible modes in a new cohort.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Under the title Gamification as Proactive Approach for Continuous Improvement and Innovation Enhancement, this programme investigates how a gamified health-technology innovation can respond when a technically available service does not sustain voluntary use. Fall-risk assessment provides the bounded engineering case. The proactive intervention point is an adverse or difficult experience before disengagement becomes established. Continuous improvement has two distinct objects: the participant's supported learning and the engineering team's revision of the intervention. Innovation enhancement is expressed through the proposed integration of gameplay, measurement, truthful progress feedback and a documented redesign process on an existing technological platform.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highlight w:val="yellow"/>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in-session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innovation contribution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G.8),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REVIEW COPY V39 -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(G.8); (10) Stage-3 participant-level logbook: distributor wrappers + questionnaire returns, or the disclosure sentence that compilation remains partial (s6.4); (11) Stage 3B results when the window closes (s8.8); (12) Dr Lau second consultation: game feedback, Mirror clearance, member-check (s6.12, H.6); (13) member-checks for Dr Choy's and Dr Lau's summaries; (14) screenshots to re-send as files (dated invitations, Choy/Expert P/Lau WhatsApp chains, HSEARS dashboard, ICMSS acceptance letter); (15) final Word field refresh (Ctrl+A, F9) + full verification sweep + proofread. (16) Examiner-style review of 5 Sep 2026 (archived in evidence/): text-level calibration applied in V38 and revised in V39 - stage-role vocabulary (decoupling comparison, not attribution experiment/positive control), candidate-boundary phrasing, H0 framing note, QFD relabelled qualitative requirements mapping, new rivals s8.5.10 (consequence-avoidance) and continuance comparison (Bhattacherjee 2001), s5.3.9 chronology note, Table 9.3 statuses recalibrated. RECORD-DEPENDENT items awaiting the mid-September records: ethics documentary set (memo + authorised scope + basis for all-30 analysis), source-to-result manifest (Appendix G stub), build-lineage matrix (Appendix G stub), participant-journey reconstruction (timestamps/definitions), FRA index measurement provenance, instrument reproduction (Appendix A/C/D), denominator reconciliation. Evidence cut-off to be declared when the records land.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