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color w:val="1B3355"/>
          <w:sz w:val="52"/>
        </w:rPr>
        <w:t>GENAPEP</w:t>
      </w:r>
    </w:p>
    <w:p>
      <w:pPr>
        <w:spacing w:after="40"/>
        <w:jc w:val="center"/>
      </w:pPr>
      <w:r>
        <w:rPr>
          <w:b w:val="0"/>
          <w:i w:val="0"/>
          <w:color w:val="555555"/>
          <w:sz w:val="28"/>
        </w:rPr>
        <w:t>Director Briefing — the IPO project, First Vital and the road ahead</w:t>
      </w:r>
    </w:p>
    <w:p>
      <w:pPr>
        <w:spacing w:after="40"/>
        <w:jc w:val="center"/>
      </w:pPr>
      <w:r>
        <w:rPr>
          <w:b/>
          <w:i w:val="0"/>
          <w:color w:val="C0392B"/>
          <w:sz w:val="18"/>
        </w:rPr>
        <w:t>PRIVATE &amp; CONFIDENTIAL — for the directors of WBI and Eyesel only. Not for release to First Vital or any third party.</w:t>
      </w:r>
    </w:p>
    <w:p>
      <w:pPr>
        <w:spacing w:after="120"/>
        <w:jc w:val="center"/>
      </w:pPr>
      <w:r>
        <w:rPr>
          <w:b w:val="0"/>
          <w:i/>
          <w:color w:val="555555"/>
          <w:sz w:val="17"/>
        </w:rPr>
        <w:t>Heads-up briefing prepared to open board discussion. Non-binding; not legal, tax, accounting, securities, healthcare-regulatory or clinical advice. Figures are planning figures from the parties' own workbooks and are illustrative.</w:t>
      </w:r>
    </w:p>
    <w:p>
      <w:pPr>
        <w:spacing w:after="240"/>
      </w:pPr>
      <w:r>
        <w:rPr>
          <w:b/>
          <w:i w:val="0"/>
          <w:color w:val="C0392B"/>
          <w:sz w:val="19"/>
        </w:rPr>
        <w:t>SEPTEMBER 2026 UPDATE — READ FIRST. New evidence (Eyesel statutory FY2024/FY2025 financials; the FirstVitals DD report of 2026-09-03; the FirstVitals cap table of 2026-09-02) superseded parts of this briefing. Verified: FirstVitals is NOT an SEC reporting company (Reg A+ Form 1-A crowdfunding only), is pre-revenue after abandoning its RPM services in the 2024 pivot (the GLP-1 proforma is an unvalidated plan), is 94.63% owned by one holder with $500K lifetime capital and a 7.5M-share unissued option pool (54.18% fully diluted); its supportable value is ~$0-2M, not $5-13M. Eyesel FY2025 revenue is verified at ₩10.46B (~$7.47M @₩1,400) — inside the 15% equalisation band, closing the open item; the '~$15M Eyesel revenue' figure is contradicted. Route B is not viable as pitched; Route A remains default and a Korea listing is promoted to a parallel track. The governing document is now GenApep IPO Plan v2 (GenApep_IPO_Plan_v2.docx); passages below contradicted by it are retained for record only.</w:t>
      </w:r>
    </w:p>
    <w:p>
      <w:pPr>
        <w:pStyle w:val="Heading2"/>
      </w:pPr>
      <w:r>
        <w:t>1. The project in brief</w:t>
      </w:r>
    </w:p>
    <w:p>
      <w:pPr>
        <w:spacing w:after="120"/>
      </w:pPr>
      <w:r>
        <w:rPr>
          <w:b w:val="0"/>
          <w:i w:val="0"/>
          <w:sz w:val="21"/>
        </w:rPr>
        <w:t>The project takes WBI and Eyesel to a US public market in two stages. Stage 1 forms the Joint Venture: GenApep Holdings (Cayman) owns GenApep Korea, which acquires 100% of WBI and 100% of Eyesel; Eyesel shareholders hold 51%, WBI shareholders 49%, both diluted pro rata by a 5–10% technology sweat pool. Stage 2 is the listing route, decided later and separately: Route A (default) — GenApep's own US offering, confidential SEC draft by end-2027, listing 2028; or Route B — combination with First Vital Health and Wellness Inc (FVH), a US company whose claimed SEC record and GLP-1 programme FAILED September-2026 verification (see the update box above). Signing Amendment No. 1 starts Stage 1 now; Addendum A creates the machinery to consider Route B without committing to it. The PCAOB audit of both companies is the critical path under every route, so forming the JV first costs no calendar time.</w:t>
      </w:r>
    </w:p>
    <w:p>
      <w:pPr>
        <w:pStyle w:val="Heading2"/>
      </w:pPr>
      <w:r>
        <w:t>2. How we implement</w:t>
      </w:r>
    </w:p>
    <w:tbl>
      <w:tblPr>
        <w:tblStyle w:val="LightGrid-Accent1"/>
        <w:tblW w:type="auto" w:w="0"/>
        <w:jc w:val="center"/>
        <w:tblLook w:firstColumn="1" w:firstRow="1" w:lastColumn="0" w:lastRow="0" w:noHBand="0" w:noVBand="1" w:val="04A0"/>
      </w:tblPr>
      <w:tblGrid>
        <w:gridCol w:w="2880"/>
        <w:gridCol w:w="2880"/>
        <w:gridCol w:w="2880"/>
      </w:tblGrid>
      <w:tr>
        <w:tc>
          <w:tcPr>
            <w:tcW w:type="dxa" w:w="2448"/>
          </w:tcPr>
          <w:p>
            <w:r>
              <w:rPr>
                <w:b/>
                <w:sz w:val="19"/>
              </w:rPr>
              <w:t>Step</w:t>
            </w:r>
          </w:p>
        </w:tc>
        <w:tc>
          <w:tcPr>
            <w:tcW w:type="dxa" w:w="1728"/>
          </w:tcPr>
          <w:p>
            <w:r>
              <w:rPr>
                <w:b/>
                <w:sz w:val="19"/>
              </w:rPr>
              <w:t>Window</w:t>
            </w:r>
          </w:p>
        </w:tc>
        <w:tc>
          <w:tcPr>
            <w:tcW w:type="dxa" w:w="5184"/>
          </w:tcPr>
          <w:p>
            <w:r>
              <w:rPr>
                <w:b/>
                <w:sz w:val="19"/>
              </w:rPr>
              <w:t>What happens</w:t>
            </w:r>
          </w:p>
        </w:tc>
      </w:tr>
      <w:tr>
        <w:tc>
          <w:tcPr>
            <w:tcW w:type="dxa" w:w="2448"/>
          </w:tcPr>
          <w:p>
            <w:r>
              <w:rPr>
                <w:b/>
                <w:sz w:val="19"/>
              </w:rPr>
              <w:t>1. Sign Amendment No. 1</w:t>
            </w:r>
          </w:p>
        </w:tc>
        <w:tc>
          <w:tcPr>
            <w:tcW w:type="dxa" w:w="1728"/>
          </w:tcPr>
          <w:p>
            <w:r>
              <w:rPr>
                <w:sz w:val="19"/>
              </w:rPr>
              <w:t>Immediate</w:t>
            </w:r>
          </w:p>
        </w:tc>
        <w:tc>
          <w:tcPr>
            <w:tcW w:type="dxa" w:w="5184"/>
          </w:tcPr>
          <w:p>
            <w:r>
              <w:rPr>
                <w:sz w:val="19"/>
              </w:rPr>
              <w:t>Fixes nine defects in the 12-Aug MOU that matter under every scenario: mandatory 51:49 equalisation once a &gt;15% variance is shown, consideration to shareholder bodies pro rata (never to individuals), Third-Director disclosure and deadlock fallback, technology chain-of-title as a condition precedent.</w:t>
            </w:r>
          </w:p>
        </w:tc>
      </w:tr>
      <w:tr>
        <w:tc>
          <w:tcPr>
            <w:tcW w:type="dxa" w:w="2448"/>
          </w:tcPr>
          <w:p>
            <w:r>
              <w:rPr>
                <w:b/>
                <w:sz w:val="19"/>
              </w:rPr>
              <w:t>2. Execute Stage 1</w:t>
            </w:r>
          </w:p>
        </w:tc>
        <w:tc>
          <w:tcPr>
            <w:tcW w:type="dxa" w:w="1728"/>
          </w:tcPr>
          <w:p>
            <w:r>
              <w:rPr>
                <w:sz w:val="19"/>
              </w:rPr>
              <w:t>Q3-2026 → Q2-2027</w:t>
            </w:r>
          </w:p>
        </w:tc>
        <w:tc>
          <w:tcPr>
            <w:tcW w:type="dxa" w:w="5184"/>
          </w:tcPr>
          <w:p>
            <w:r>
              <w:rPr>
                <w:sz w:val="19"/>
              </w:rPr>
              <w:t>Incorporate GenApep Holdings (Cayman) and GenApep Korea; deliver Eyesel's updated financial report (30 days); appoint the PCAOB-registered auditor in Q4-2026 — the critical path; definitive SHA + sweat-pool KPI schedule; share exchange Q1–Q2 2027.</w:t>
            </w:r>
          </w:p>
        </w:tc>
      </w:tr>
      <w:tr>
        <w:tc>
          <w:tcPr>
            <w:tcW w:type="dxa" w:w="2448"/>
          </w:tcPr>
          <w:p>
            <w:r>
              <w:rPr>
                <w:b/>
                <w:sz w:val="19"/>
              </w:rPr>
              <w:t>3. Sign Addendum A when ready to consider Route B</w:t>
            </w:r>
          </w:p>
        </w:tc>
        <w:tc>
          <w:tcPr>
            <w:tcW w:type="dxa" w:w="1728"/>
          </w:tcPr>
          <w:p>
            <w:r>
              <w:rPr>
                <w:sz w:val="19"/>
              </w:rPr>
              <w:t>When FVH discussion is live</w:t>
            </w:r>
          </w:p>
        </w:tc>
        <w:tc>
          <w:tcPr>
            <w:tcW w:type="dxa" w:w="5184"/>
          </w:tcPr>
          <w:p>
            <w:r>
              <w:rPr>
                <w:sz w:val="19"/>
              </w:rPr>
              <w:t>Makes the route a Reserved Matter decision: Route A remains the default; GenApep Korea is the only permitted acquisition vehicle; any Stage 2 transaction distributes consideration strictly pro rata through the block.</w:t>
            </w:r>
          </w:p>
        </w:tc>
      </w:tr>
      <w:tr>
        <w:tc>
          <w:tcPr>
            <w:tcW w:type="dxa" w:w="2448"/>
          </w:tcPr>
          <w:p>
            <w:r>
              <w:rPr>
                <w:b/>
                <w:sz w:val="19"/>
              </w:rPr>
              <w:t>4. Verify First Vital before any terms</w:t>
            </w:r>
          </w:p>
        </w:tc>
        <w:tc>
          <w:tcPr>
            <w:tcW w:type="dxa" w:w="1728"/>
          </w:tcPr>
          <w:p>
            <w:r>
              <w:rPr>
                <w:sz w:val="19"/>
              </w:rPr>
              <w:t>This week onward</w:t>
            </w:r>
          </w:p>
        </w:tc>
        <w:tc>
          <w:tcPr>
            <w:tcW w:type="dxa" w:w="5184"/>
          </w:tcPr>
          <w:p>
            <w:r>
              <w:rPr>
                <w:sz w:val="19"/>
              </w:rPr>
              <w:t>Gate zero: obtain FVH's CIK and complete EDGAR filing index. Request July–August GLP-1 actual enrolments, claims submitted/paid and denial rates. No terms before verification.</w:t>
            </w:r>
          </w:p>
        </w:tc>
      </w:tr>
      <w:tr>
        <w:tc>
          <w:tcPr>
            <w:tcW w:type="dxa" w:w="2448"/>
          </w:tcPr>
          <w:p>
            <w:r>
              <w:rPr>
                <w:b/>
                <w:sz w:val="19"/>
              </w:rPr>
              <w:t>5. If Route B is chosen: one block, one ratio</w:t>
            </w:r>
          </w:p>
        </w:tc>
        <w:tc>
          <w:tcPr>
            <w:tcW w:type="dxa" w:w="1728"/>
          </w:tcPr>
          <w:p>
            <w:r>
              <w:rPr>
                <w:sz w:val="19"/>
              </w:rPr>
              <w:t>After gates pass</w:t>
            </w:r>
          </w:p>
        </w:tc>
        <w:tc>
          <w:tcPr>
            <w:tcW w:type="dxa" w:w="5184"/>
          </w:tcPr>
          <w:p>
            <w:r>
              <w:rPr>
                <w:sz w:val="19"/>
              </w:rPr>
              <w:t>Independent valuations of both sides + a written fairness opinion; FVH issues shares to GenApep Holdings' shareholders pro rata for 100% of GenApep Holdings, simultaneously at closing; the sweat pool carries through on equivalent terms; then reporting obligations and, separately, an exchange-listing application when the group qualifies.</w:t>
            </w:r>
          </w:p>
        </w:tc>
      </w:tr>
    </w:tbl>
    <w:p>
      <w:pPr>
        <w:spacing w:after="40"/>
      </w:pPr>
    </w:p>
    <w:p>
      <w:pPr>
        <w:pStyle w:val="Heading2"/>
      </w:pPr>
      <w:r>
        <w:t>3. Route A vs Route B — pros and cons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016"/>
          </w:tcPr>
          <w:p>
            <w:r>
              <w:rPr>
                <w:b/>
                <w:sz w:val="19"/>
              </w:rPr>
              <w:t>Dimension</w:t>
            </w:r>
          </w:p>
        </w:tc>
        <w:tc>
          <w:tcPr>
            <w:tcW w:type="dxa" w:w="3600"/>
          </w:tcPr>
          <w:p>
            <w:r>
              <w:rPr>
                <w:b/>
                <w:sz w:val="19"/>
              </w:rPr>
              <w:t>Route A — own IPO (default)</w:t>
            </w:r>
          </w:p>
        </w:tc>
        <w:tc>
          <w:tcPr>
            <w:tcW w:type="dxa" w:w="3744"/>
          </w:tcPr>
          <w:p>
            <w:r>
              <w:rPr>
                <w:b/>
                <w:sz w:val="19"/>
              </w:rPr>
              <w:t>Route B — combine with First Vital</w:t>
            </w:r>
          </w:p>
        </w:tc>
      </w:tr>
      <w:tr>
        <w:tc>
          <w:tcPr>
            <w:tcW w:type="dxa" w:w="2016"/>
          </w:tcPr>
          <w:p>
            <w:r>
              <w:rPr>
                <w:b/>
                <w:sz w:val="19"/>
              </w:rPr>
              <w:t>Speed to being public</w:t>
            </w:r>
          </w:p>
        </w:tc>
        <w:tc>
          <w:tcPr>
            <w:tcW w:type="dxa" w:w="3600"/>
          </w:tcPr>
          <w:p>
            <w:r>
              <w:rPr>
                <w:sz w:val="19"/>
              </w:rPr>
              <w:t>Own registration: confidential draft end-2027, listing 2028; market-dependent.</w:t>
            </w:r>
          </w:p>
        </w:tc>
        <w:tc>
          <w:tcPr>
            <w:tcW w:type="dxa" w:w="3744"/>
          </w:tcPr>
          <w:p>
            <w:r>
              <w:rPr>
                <w:sz w:val="19"/>
              </w:rPr>
              <w:t>SUPERSEDED: verified as NOT faster. FirstVitals has no reporting status to confer (Reg A+ 1-A only), and Rule 3-05 puts 12-18 months of PCAOB audits on any S-1 regardless.</w:t>
            </w:r>
          </w:p>
        </w:tc>
      </w:tr>
      <w:tr>
        <w:tc>
          <w:tcPr>
            <w:tcW w:type="dxa" w:w="2016"/>
          </w:tcPr>
          <w:p>
            <w:r>
              <w:rPr>
                <w:b/>
                <w:sz w:val="19"/>
              </w:rPr>
              <w:t>Capital raised</w:t>
            </w:r>
          </w:p>
        </w:tc>
        <w:tc>
          <w:tcPr>
            <w:tcW w:type="dxa" w:w="3600"/>
          </w:tcPr>
          <w:p>
            <w:r>
              <w:rPr>
                <w:sz w:val="19"/>
              </w:rPr>
              <w:t>Primary raise at the offering (illustrative US$20M at US$80M pre-money).</w:t>
            </w:r>
          </w:p>
        </w:tc>
        <w:tc>
          <w:tcPr>
            <w:tcW w:type="dxa" w:w="3744"/>
          </w:tcPr>
          <w:p>
            <w:r>
              <w:rPr>
                <w:sz w:val="19"/>
              </w:rPr>
              <w:t>A combination raises no money. A financing plan must be built separately.</w:t>
            </w:r>
          </w:p>
        </w:tc>
      </w:tr>
      <w:tr>
        <w:tc>
          <w:tcPr>
            <w:tcW w:type="dxa" w:w="2016"/>
          </w:tcPr>
          <w:p>
            <w:r>
              <w:rPr>
                <w:b/>
                <w:sz w:val="19"/>
              </w:rPr>
              <w:t>Issuer profile</w:t>
            </w:r>
          </w:p>
        </w:tc>
        <w:tc>
          <w:tcPr>
            <w:tcW w:type="dxa" w:w="3600"/>
          </w:tcPr>
          <w:p>
            <w:r>
              <w:rPr>
                <w:sz w:val="19"/>
              </w:rPr>
              <w:t>Foreign private issuer assumed: Form F-1, IFRS, 20-F/6-K reporting.</w:t>
            </w:r>
          </w:p>
        </w:tc>
        <w:tc>
          <w:tcPr>
            <w:tcW w:type="dxa" w:w="3744"/>
          </w:tcPr>
          <w:p>
            <w:r>
              <w:rPr>
                <w:sz w:val="19"/>
              </w:rPr>
              <w:t>US parent likely means domestic issuer: S-1/S-4, US GAAP, 10-K/10-Q/8-K and full proxy rules — more cost and time than currently budgeted. Written counsel opinion required.</w:t>
            </w:r>
          </w:p>
        </w:tc>
      </w:tr>
      <w:tr>
        <w:tc>
          <w:tcPr>
            <w:tcW w:type="dxa" w:w="2016"/>
          </w:tcPr>
          <w:p>
            <w:r>
              <w:rPr>
                <w:b/>
                <w:sz w:val="19"/>
              </w:rPr>
              <w:t>What we get besides listing</w:t>
            </w:r>
          </w:p>
        </w:tc>
        <w:tc>
          <w:tcPr>
            <w:tcW w:type="dxa" w:w="3600"/>
          </w:tcPr>
          <w:p>
            <w:r>
              <w:rPr>
                <w:sz w:val="19"/>
              </w:rPr>
              <w:t>Nothing external — the group's own story only.</w:t>
            </w:r>
          </w:p>
        </w:tc>
        <w:tc>
          <w:tcPr>
            <w:tcW w:type="dxa" w:w="3744"/>
          </w:tcPr>
          <w:p>
            <w:r>
              <w:rPr>
                <w:sz w:val="19"/>
              </w:rPr>
              <w:t>FVH's GLP-1 programme (US$2.2M 2026 → US$16.7M 2027 proforma; recurring MRR US$1.59M/month exiting 2027) and a US clinical channel for GenApep peptide products.</w:t>
            </w:r>
          </w:p>
        </w:tc>
      </w:tr>
      <w:tr>
        <w:tc>
          <w:tcPr>
            <w:tcW w:type="dxa" w:w="2016"/>
          </w:tcPr>
          <w:p>
            <w:r>
              <w:rPr>
                <w:b/>
                <w:sz w:val="19"/>
              </w:rPr>
              <w:t>Counterparty risk</w:t>
            </w:r>
          </w:p>
        </w:tc>
        <w:tc>
          <w:tcPr>
            <w:tcW w:type="dxa" w:w="3600"/>
          </w:tcPr>
          <w:p>
            <w:r>
              <w:rPr>
                <w:sz w:val="19"/>
              </w:rPr>
              <w:t>None — no external counterparty.</w:t>
            </w:r>
          </w:p>
        </w:tc>
        <w:tc>
          <w:tcPr>
            <w:tcW w:type="dxa" w:w="3744"/>
          </w:tcPr>
          <w:p>
            <w:r>
              <w:rPr>
                <w:sz w:val="19"/>
              </w:rPr>
              <w:t>FVH's SEC status is unverified; the GLP-1 programme has ~2 months of trading history; possible shell-company restrictions; inherited liabilities; related-party optics.</w:t>
            </w:r>
          </w:p>
        </w:tc>
      </w:tr>
      <w:tr>
        <w:tc>
          <w:tcPr>
            <w:tcW w:type="dxa" w:w="2016"/>
          </w:tcPr>
          <w:p>
            <w:r>
              <w:rPr>
                <w:b/>
                <w:sz w:val="19"/>
              </w:rPr>
              <w:t>Control of the process</w:t>
            </w:r>
          </w:p>
        </w:tc>
        <w:tc>
          <w:tcPr>
            <w:tcW w:type="dxa" w:w="3600"/>
          </w:tcPr>
          <w:p>
            <w:r>
              <w:rPr>
                <w:sz w:val="19"/>
              </w:rPr>
              <w:t>Fully in the JV's hands.</w:t>
            </w:r>
          </w:p>
        </w:tc>
        <w:tc>
          <w:tcPr>
            <w:tcW w:type="dxa" w:w="3744"/>
          </w:tcPr>
          <w:p>
            <w:r>
              <w:rPr>
                <w:sz w:val="19"/>
              </w:rPr>
              <w:t>Shared with FVH's board and existing holders; exclusivity and governance must be negotiated.</w:t>
            </w:r>
          </w:p>
        </w:tc>
      </w:tr>
    </w:tbl>
    <w:p>
      <w:pPr>
        <w:spacing w:after="40"/>
      </w:pPr>
    </w:p>
    <w:p>
      <w:pPr>
        <w:pStyle w:val="Heading3"/>
      </w:pPr>
      <w:r>
        <w:t>What First Vital specifically brings</w:t>
      </w:r>
    </w:p>
    <w:p>
      <w:pPr>
        <w:pStyle w:val="ListBullet"/>
        <w:spacing w:after="60"/>
      </w:pPr>
      <w:r>
        <w:rPr>
          <w:b/>
        </w:rPr>
        <w:t xml:space="preserve">Existing SEC filing record — </w:t>
      </w:r>
      <w:r>
        <w:t>NOW VERIFIED NEGATIVE: the record is a Reg A+ Form 1-A crowdfunding offering, not reporting-company status — the claimed benefit does not exist.</w:t>
      </w:r>
    </w:p>
    <w:p>
      <w:pPr>
        <w:pStyle w:val="ListBullet"/>
        <w:spacing w:after="60"/>
      </w:pPr>
      <w:r>
        <w:rPr>
          <w:b/>
        </w:rPr>
        <w:t xml:space="preserve">Operating US clinical channel — </w:t>
      </w:r>
      <w:r>
        <w:t>The GLP-1 patient base is a natural route to market for GenApep peptides — GI/metabolic support, muscle preservation, GLP-1-associated hair loss.</w:t>
      </w:r>
    </w:p>
    <w:p>
      <w:pPr>
        <w:pStyle w:val="ListBullet"/>
        <w:spacing w:after="60"/>
      </w:pPr>
      <w:r>
        <w:rPr>
          <w:b/>
        </w:rPr>
        <w:t xml:space="preserve">Recurring-revenue programme (CLAIMED) — </w:t>
      </w:r>
      <w:r>
        <w:t>NOW CONTRADICTED as operating revenue: FirstVitals abandoned RPM services in its 2024 pivot; the proforma is an unvalidated plan of a pre-revenue company.</w:t>
      </w:r>
    </w:p>
    <w:p>
      <w:pPr>
        <w:pStyle w:val="ListBullet"/>
        <w:spacing w:after="60"/>
      </w:pPr>
      <w:r>
        <w:rPr>
          <w:b/>
        </w:rPr>
        <w:t xml:space="preserve">US infrastructure &amp; shareholder base — </w:t>
      </w:r>
      <w:r>
        <w:t>Corporate platform and float that the JV would otherwise build from zero.</w:t>
      </w:r>
    </w:p>
    <w:p>
      <w:pPr>
        <w:pStyle w:val="Heading3"/>
      </w:pPr>
      <w:r>
        <w:t>And the risks it carries</w:t>
      </w:r>
    </w:p>
    <w:p>
      <w:pPr>
        <w:pStyle w:val="ListBullet"/>
        <w:spacing w:after="60"/>
      </w:pPr>
      <w:r>
        <w:rPr>
          <w:b/>
        </w:rPr>
        <w:t xml:space="preserve">Filing status unverified — </w:t>
      </w:r>
      <w:r>
        <w:t>A public search did not surface an identifiable EDGAR record; if the Dec-2024 filing was a Reg-A offering statement, FVH may not be a reporting company at all. Gate zero.</w:t>
      </w:r>
    </w:p>
    <w:p>
      <w:pPr>
        <w:pStyle w:val="ListBullet"/>
        <w:spacing w:after="60"/>
      </w:pPr>
      <w:r>
        <w:rPr>
          <w:b/>
        </w:rPr>
        <w:t xml:space="preserve">Two months of trading history — </w:t>
      </w:r>
      <w:r>
        <w:t>The GLP-1 programme began enrolling 1 July 2026; the 10,000-patient ramp is a plan, not a track record. July–August actuals are the cheapest diligence available.</w:t>
      </w:r>
    </w:p>
    <w:p>
      <w:pPr>
        <w:pStyle w:val="ListBullet"/>
        <w:spacing w:after="60"/>
      </w:pPr>
      <w:r>
        <w:rPr>
          <w:b/>
        </w:rPr>
        <w:t xml:space="preserve">Proforma is revenue-only — </w:t>
      </w:r>
      <w:r>
        <w:t>No clinician cost, billing cost, denials, collections. The 20% EBITDA margin used in the draft IPO MOU is an assumption; a cost build is needed.</w:t>
      </w:r>
    </w:p>
    <w:p>
      <w:pPr>
        <w:pStyle w:val="ListBullet"/>
        <w:spacing w:after="60"/>
      </w:pPr>
      <w:r>
        <w:rPr>
          <w:b/>
        </w:rPr>
        <w:t xml:space="preserve">Issuer/accounting consequences — </w:t>
      </w:r>
      <w:r>
        <w:t>US-parent structure likely forfeits foreign-private-issuer status: US GAAP + domestic reporting — unbudgeted cost and time.</w:t>
      </w:r>
    </w:p>
    <w:p>
      <w:pPr>
        <w:pStyle w:val="ListBullet"/>
        <w:spacing w:after="60"/>
      </w:pPr>
      <w:r>
        <w:rPr>
          <w:b/>
        </w:rPr>
        <w:t xml:space="preserve">Shell risk &amp; no capital — </w:t>
      </w:r>
      <w:r>
        <w:t>Possible shell-company resale restrictions; a combination raises no money; the group could emerge public but undercapitalised.</w:t>
      </w:r>
    </w:p>
    <w:p>
      <w:pPr>
        <w:pStyle w:val="ListBullet"/>
        <w:spacing w:after="60"/>
      </w:pPr>
      <w:r>
        <w:rPr>
          <w:b/>
        </w:rPr>
        <w:t xml:space="preserve">Related-party exposure — </w:t>
      </w:r>
      <w:r>
        <w:t>Principals could sit on both sides; only independent valuations, a fairness opinion and disinterested approval make the transaction defensible.</w:t>
      </w:r>
    </w:p>
    <w:p>
      <w:pPr>
        <w:pStyle w:val="Heading2"/>
      </w:pPr>
      <w:r>
        <w:t>4. Recommended shareholding structure</w:t>
      </w:r>
    </w:p>
    <w:p>
      <w:pPr>
        <w:spacing w:after="120"/>
      </w:pPr>
      <w:r>
        <w:rPr>
          <w:b w:val="0"/>
          <w:i w:val="0"/>
          <w:sz w:val="21"/>
        </w:rPr>
        <w:t>First Vital's share structure is undetermined, which is an opportunity: the parties can set it rationally rather than inherit it. The recommendation is a single value-based exchange ratio: independent valuations of GenApep (planning range US$30–40M before technology upside) and of FVH (verified value — to be established in diligence), a written fairness opinion on the ratio, and entry as ONE block: FVH issues shares to GenApep Holdings' shareholders pro rata. The GenApep block percentage then divides internally at 51:49 less the sweat pool, automatically. No shares to individuals; no separate negotiations inside the FVH cap table; the draft IPO MOU's 40/35/25 allocation to two individuals is replaced.</w:t>
      </w:r>
    </w:p>
    <w:p>
      <w:pPr>
        <w:spacing w:after="60"/>
      </w:pPr>
      <w:r>
        <w:rPr>
          <w:b/>
          <w:i w:val="0"/>
          <w:sz w:val="21"/>
        </w:rPr>
        <w:t>Illustrative combined cap table (GenApep at US$35M mid; 7.5% pool; value-based ratio). SEP-2026 UPDATE: FVH's supportable value on the verified record is ~$0-2M — below every scenario shown — and any deal must first cancel/cap the 7.5M-share option pool (54.18% fully diluted).</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2736"/>
          </w:tcPr>
          <w:p>
            <w:r>
              <w:rPr>
                <w:b/>
                <w:sz w:val="19"/>
              </w:rPr>
              <w:t>Scenario</w:t>
            </w:r>
          </w:p>
        </w:tc>
        <w:tc>
          <w:tcPr>
            <w:tcW w:type="dxa" w:w="1584"/>
          </w:tcPr>
          <w:p>
            <w:r>
              <w:rPr>
                <w:b/>
                <w:sz w:val="19"/>
              </w:rPr>
              <w:t>GenApep block</w:t>
            </w:r>
          </w:p>
        </w:tc>
        <w:tc>
          <w:tcPr>
            <w:tcW w:type="dxa" w:w="1440"/>
          </w:tcPr>
          <w:p>
            <w:r>
              <w:rPr>
                <w:b/>
                <w:sz w:val="19"/>
              </w:rPr>
              <w:t>Eyesel sh.</w:t>
            </w:r>
          </w:p>
        </w:tc>
        <w:tc>
          <w:tcPr>
            <w:tcW w:type="dxa" w:w="1440"/>
          </w:tcPr>
          <w:p>
            <w:r>
              <w:rPr>
                <w:b/>
                <w:sz w:val="19"/>
              </w:rPr>
              <w:t>WBI sh.</w:t>
            </w:r>
          </w:p>
        </w:tc>
        <w:tc>
          <w:tcPr>
            <w:tcW w:type="dxa" w:w="1296"/>
          </w:tcPr>
          <w:p>
            <w:r>
              <w:rPr>
                <w:b/>
                <w:sz w:val="19"/>
              </w:rPr>
              <w:t>Tech pool</w:t>
            </w:r>
          </w:p>
        </w:tc>
        <w:tc>
          <w:tcPr>
            <w:tcW w:type="dxa" w:w="1440"/>
          </w:tcPr>
          <w:p>
            <w:r>
              <w:rPr>
                <w:b/>
                <w:sz w:val="19"/>
              </w:rPr>
              <w:t>FVH holders</w:t>
            </w:r>
          </w:p>
        </w:tc>
      </w:tr>
      <w:tr>
        <w:tc>
          <w:tcPr>
            <w:tcW w:type="dxa" w:w="2736"/>
          </w:tcPr>
          <w:p>
            <w:r>
              <w:rPr>
                <w:b/>
                <w:sz w:val="19"/>
              </w:rPr>
              <w:t>FVH verified at US$5M</w:t>
            </w:r>
          </w:p>
        </w:tc>
        <w:tc>
          <w:tcPr>
            <w:tcW w:type="dxa" w:w="1584"/>
          </w:tcPr>
          <w:p>
            <w:r>
              <w:rPr>
                <w:sz w:val="19"/>
              </w:rPr>
              <w:t>88%</w:t>
            </w:r>
          </w:p>
        </w:tc>
        <w:tc>
          <w:tcPr>
            <w:tcW w:type="dxa" w:w="1440"/>
          </w:tcPr>
          <w:p>
            <w:r>
              <w:rPr>
                <w:sz w:val="19"/>
              </w:rPr>
              <w:t>41.3%</w:t>
            </w:r>
          </w:p>
        </w:tc>
        <w:tc>
          <w:tcPr>
            <w:tcW w:type="dxa" w:w="1440"/>
          </w:tcPr>
          <w:p>
            <w:r>
              <w:rPr>
                <w:sz w:val="19"/>
              </w:rPr>
              <w:t>39.7%</w:t>
            </w:r>
          </w:p>
        </w:tc>
        <w:tc>
          <w:tcPr>
            <w:tcW w:type="dxa" w:w="1296"/>
          </w:tcPr>
          <w:p>
            <w:r>
              <w:rPr>
                <w:sz w:val="19"/>
              </w:rPr>
              <w:t>6.6%</w:t>
            </w:r>
          </w:p>
        </w:tc>
        <w:tc>
          <w:tcPr>
            <w:tcW w:type="dxa" w:w="1440"/>
          </w:tcPr>
          <w:p>
            <w:r>
              <w:rPr>
                <w:sz w:val="19"/>
              </w:rPr>
              <w:t>12%</w:t>
            </w:r>
          </w:p>
        </w:tc>
      </w:tr>
      <w:tr>
        <w:tc>
          <w:tcPr>
            <w:tcW w:type="dxa" w:w="2736"/>
          </w:tcPr>
          <w:p>
            <w:r>
              <w:rPr>
                <w:b/>
                <w:sz w:val="19"/>
              </w:rPr>
              <w:t>FVH verified at US$10M</w:t>
            </w:r>
          </w:p>
        </w:tc>
        <w:tc>
          <w:tcPr>
            <w:tcW w:type="dxa" w:w="1584"/>
          </w:tcPr>
          <w:p>
            <w:r>
              <w:rPr>
                <w:b/>
                <w:sz w:val="19"/>
              </w:rPr>
              <w:t>78%</w:t>
            </w:r>
          </w:p>
        </w:tc>
        <w:tc>
          <w:tcPr>
            <w:tcW w:type="dxa" w:w="1440"/>
          </w:tcPr>
          <w:p>
            <w:r>
              <w:rPr>
                <w:b/>
                <w:sz w:val="19"/>
              </w:rPr>
              <w:t>36.7%</w:t>
            </w:r>
          </w:p>
        </w:tc>
        <w:tc>
          <w:tcPr>
            <w:tcW w:type="dxa" w:w="1440"/>
          </w:tcPr>
          <w:p>
            <w:r>
              <w:rPr>
                <w:b/>
                <w:sz w:val="19"/>
              </w:rPr>
              <w:t>35.3%</w:t>
            </w:r>
          </w:p>
        </w:tc>
        <w:tc>
          <w:tcPr>
            <w:tcW w:type="dxa" w:w="1296"/>
          </w:tcPr>
          <w:p>
            <w:r>
              <w:rPr>
                <w:b/>
                <w:sz w:val="19"/>
              </w:rPr>
              <w:t>5.8%</w:t>
            </w:r>
          </w:p>
        </w:tc>
        <w:tc>
          <w:tcPr>
            <w:tcW w:type="dxa" w:w="1440"/>
          </w:tcPr>
          <w:p>
            <w:r>
              <w:rPr>
                <w:b/>
                <w:sz w:val="19"/>
              </w:rPr>
              <w:t>22%</w:t>
            </w:r>
          </w:p>
        </w:tc>
      </w:tr>
      <w:tr>
        <w:tc>
          <w:tcPr>
            <w:tcW w:type="dxa" w:w="2736"/>
          </w:tcPr>
          <w:p>
            <w:r>
              <w:rPr>
                <w:b/>
                <w:sz w:val="19"/>
              </w:rPr>
              <w:t>FVH verified at US$13M</w:t>
            </w:r>
          </w:p>
        </w:tc>
        <w:tc>
          <w:tcPr>
            <w:tcW w:type="dxa" w:w="1584"/>
          </w:tcPr>
          <w:p>
            <w:r>
              <w:rPr>
                <w:sz w:val="19"/>
              </w:rPr>
              <w:t>73%</w:t>
            </w:r>
          </w:p>
        </w:tc>
        <w:tc>
          <w:tcPr>
            <w:tcW w:type="dxa" w:w="1440"/>
          </w:tcPr>
          <w:p>
            <w:r>
              <w:rPr>
                <w:sz w:val="19"/>
              </w:rPr>
              <w:t>34.4%</w:t>
            </w:r>
          </w:p>
        </w:tc>
        <w:tc>
          <w:tcPr>
            <w:tcW w:type="dxa" w:w="1440"/>
          </w:tcPr>
          <w:p>
            <w:r>
              <w:rPr>
                <w:sz w:val="19"/>
              </w:rPr>
              <w:t>33.0%</w:t>
            </w:r>
          </w:p>
        </w:tc>
        <w:tc>
          <w:tcPr>
            <w:tcW w:type="dxa" w:w="1296"/>
          </w:tcPr>
          <w:p>
            <w:r>
              <w:rPr>
                <w:sz w:val="19"/>
              </w:rPr>
              <w:t>5.5%</w:t>
            </w:r>
          </w:p>
        </w:tc>
        <w:tc>
          <w:tcPr>
            <w:tcW w:type="dxa" w:w="1440"/>
          </w:tcPr>
          <w:p>
            <w:r>
              <w:rPr>
                <w:sz w:val="19"/>
              </w:rPr>
              <w:t>27%</w:t>
            </w:r>
          </w:p>
        </w:tc>
      </w:tr>
    </w:tbl>
    <w:p>
      <w:pPr>
        <w:spacing w:after="40"/>
      </w:pPr>
    </w:p>
    <w:p>
      <w:pPr>
        <w:spacing w:after="120"/>
      </w:pPr>
      <w:r>
        <w:rPr>
          <w:b w:val="0"/>
          <w:i/>
          <w:color w:val="555555"/>
          <w:sz w:val="18"/>
        </w:rPr>
        <w:t>The block percentage is set by the valuations; the internal 51:49-less-pool split never needs renegotiating.</w:t>
      </w:r>
    </w:p>
    <w:p>
      <w:pPr>
        <w:pStyle w:val="Heading3"/>
      </w:pPr>
      <w:r>
        <w:t>The DPW licence — technology credit to the valuation</w:t>
      </w:r>
    </w:p>
    <w:p>
      <w:pPr>
        <w:spacing w:after="120"/>
      </w:pPr>
      <w:r>
        <w:rPr>
          <w:b w:val="0"/>
          <w:i w:val="0"/>
          <w:sz w:val="21"/>
        </w:rPr>
        <w:t>A commercial licensing framework with DPW (an entity under the listed Richards Group) was circulated on 28 August 2026. It is a non-binding modular structure — a Master Technology Commercialization Agreement with asset-specific Rights Schedules choosing, per asset, between (1) an exclusive field-of-use licence, (2) acquisition of defined AI-peptide patent assets with included development work, or (3) non-exclusive access with first-notice rights. Economics are architecture only at this stage: access fee + development/regulatory milestones + running royalty + annual minimums. Why it matters to valuation: an arm's-length licence with a listed group's subsidiary is third-party evidence of the technology's value — it supports the AI.pep value scenarios (US$5–10M illustrative) that the JV plan currently carries at US$0 — and adds a royalty income line. Two cautions: no grant should be signed before the chain-of-title condition (Clause 5.7) is satisfied, and field-of-use exclusivity must be drawn narrowly so the platform is not stranded ahead of the IPO story.</w:t>
      </w:r>
    </w:p>
    <w:p>
      <w:pPr>
        <w:pStyle w:val="Heading3"/>
      </w:pPr>
      <w:r>
        <w:t>Korean FX/tax rationale — choosing the compliant path</w:t>
      </w:r>
    </w:p>
    <w:p>
      <w:pPr>
        <w:spacing w:after="120"/>
      </w:pPr>
      <w:r>
        <w:rPr>
          <w:b w:val="0"/>
          <w:i w:val="0"/>
          <w:sz w:val="21"/>
        </w:rPr>
        <w:t>The idea of issuing shares to two principals first, with internal allocation later, has a legitimate driver: Korea tightly regulates residents' cross-border share swaps. Each Korean shareholder must make foreign-exchange filings for foreign securities, and a share-for-share exchange is generally a TAXABLE DISPOSAL for Korean holders — tax is due in cash while the consideration arrives as shares, with no rollover relief for an exchange into a foreign parent. Dozens of individual filings and dry tax charges could stall the transaction. The question is therefore not whether to manage this, but which of the compliant paths to use.</w:t>
      </w:r>
    </w:p>
    <w:tbl>
      <w:tblPr>
        <w:tblStyle w:val="LightGrid-Accent1"/>
        <w:tblW w:type="auto" w:w="0"/>
        <w:jc w:val="center"/>
        <w:tblLook w:firstColumn="1" w:firstRow="1" w:lastColumn="0" w:lastRow="0" w:noHBand="0" w:noVBand="1" w:val="04A0"/>
      </w:tblPr>
      <w:tblGrid>
        <w:gridCol w:w="2880"/>
        <w:gridCol w:w="2880"/>
        <w:gridCol w:w="2880"/>
      </w:tblGrid>
      <w:tr>
        <w:tc>
          <w:tcPr>
            <w:tcW w:type="dxa" w:w="2448"/>
          </w:tcPr>
          <w:p>
            <w:r>
              <w:rPr>
                <w:b/>
                <w:sz w:val="19"/>
              </w:rPr>
              <w:t>Path</w:t>
            </w:r>
          </w:p>
        </w:tc>
        <w:tc>
          <w:tcPr>
            <w:tcW w:type="dxa" w:w="3888"/>
          </w:tcPr>
          <w:p>
            <w:r>
              <w:rPr>
                <w:b/>
                <w:sz w:val="19"/>
              </w:rPr>
              <w:t>Mechanics</w:t>
            </w:r>
          </w:p>
        </w:tc>
        <w:tc>
          <w:tcPr>
            <w:tcW w:type="dxa" w:w="3024"/>
          </w:tcPr>
          <w:p>
            <w:r>
              <w:rPr>
                <w:b/>
                <w:sz w:val="19"/>
              </w:rPr>
              <w:t>Assessment</w:t>
            </w:r>
          </w:p>
        </w:tc>
      </w:tr>
      <w:tr>
        <w:tc>
          <w:tcPr>
            <w:tcW w:type="dxa" w:w="2448"/>
          </w:tcPr>
          <w:p>
            <w:r>
              <w:rPr>
                <w:b/>
                <w:sz w:val="19"/>
              </w:rPr>
              <w:t>A. Direct swap by every Korean shareholder</w:t>
            </w:r>
          </w:p>
        </w:tc>
        <w:tc>
          <w:tcPr>
            <w:tcW w:type="dxa" w:w="3888"/>
          </w:tcPr>
          <w:p>
            <w:r>
              <w:rPr>
                <w:sz w:val="19"/>
              </w:rPr>
              <w:t>Each holder files and is taxed individually at the exchange.</w:t>
            </w:r>
          </w:p>
        </w:tc>
        <w:tc>
          <w:tcPr>
            <w:tcW w:type="dxa" w:w="3024"/>
          </w:tcPr>
          <w:p>
            <w:r>
              <w:rPr>
                <w:sz w:val="19"/>
              </w:rPr>
              <w:t>Heaviest friction — the problem the parties are rightly trying to avoid.</w:t>
            </w:r>
          </w:p>
        </w:tc>
      </w:tr>
      <w:tr>
        <w:tc>
          <w:tcPr>
            <w:tcW w:type="dxa" w:w="2448"/>
          </w:tcPr>
          <w:p>
            <w:r>
              <w:rPr>
                <w:b/>
                <w:sz w:val="19"/>
              </w:rPr>
              <w:t>B. Holdco block entry (recommended)</w:t>
            </w:r>
          </w:p>
        </w:tc>
        <w:tc>
          <w:tcPr>
            <w:tcW w:type="dxa" w:w="3888"/>
          </w:tcPr>
          <w:p>
            <w:r>
              <w:rPr>
                <w:sz w:val="19"/>
              </w:rPr>
              <w:t>Korean shareholders exchange ONCE into GenApep Holdings at the low pre-listing value, with one collective FX filing handled by the FA; the later swap with the platform happens at holdco level — no second Korean-level tax/FX event.</w:t>
            </w:r>
          </w:p>
        </w:tc>
        <w:tc>
          <w:tcPr>
            <w:tcW w:type="dxa" w:w="3024"/>
          </w:tcPr>
          <w:p>
            <w:r>
              <w:rPr>
                <w:sz w:val="19"/>
              </w:rPr>
              <w:t>Achieves the tax/FX objective AND automatic pro-rata fairness; this is what the Cayman structure exists for.</w:t>
            </w:r>
          </w:p>
        </w:tc>
      </w:tr>
      <w:tr>
        <w:tc>
          <w:tcPr>
            <w:tcW w:type="dxa" w:w="2448"/>
          </w:tcPr>
          <w:p>
            <w:r>
              <w:rPr>
                <w:b/>
                <w:sz w:val="19"/>
              </w:rPr>
              <w:t>C. Individuals hold first — documented</w:t>
            </w:r>
          </w:p>
        </w:tc>
        <w:tc>
          <w:tcPr>
            <w:tcW w:type="dxa" w:w="3888"/>
          </w:tcPr>
          <w:p>
            <w:r>
              <w:rPr>
                <w:sz w:val="19"/>
              </w:rPr>
              <w:t>Written nominee/escrow declaration with the pro-rata allocation schedule annexed; transfer into the holdco by a fixed deadline AT THE SAME VALUATION (no gain, no gift); written Korean tax opinion on deemed-gift (myeongui-sintak) exposure; SEC beneficial-ownership disclosure from day one.</w:t>
            </w:r>
          </w:p>
        </w:tc>
        <w:tc>
          <w:tcPr>
            <w:tcW w:type="dxa" w:w="3024"/>
          </w:tcPr>
          <w:p>
            <w:r>
              <w:rPr>
                <w:sz w:val="19"/>
              </w:rPr>
              <w:t>Workable as a bridge, but undocumented it creates deemed-gift tax, a larger second-step tax at post-listing values, disclosure defects, and personal risk for the two principals.</w:t>
            </w:r>
          </w:p>
        </w:tc>
      </w:tr>
    </w:tbl>
    <w:p>
      <w:pPr>
        <w:spacing w:after="40"/>
      </w:pPr>
    </w:p>
    <w:p>
      <w:pPr>
        <w:spacing w:after="120"/>
      </w:pPr>
      <w:r>
        <w:rPr>
          <w:b w:val="0"/>
          <w:i/>
          <w:color w:val="555555"/>
          <w:sz w:val="18"/>
        </w:rPr>
        <w:t>All Korean tax and FX statements require written confirmation by Korean counsel before any structure is selected.</w:t>
      </w:r>
    </w:p>
    <w:p>
      <w:pPr>
        <w:pStyle w:val="Heading2"/>
      </w:pPr>
      <w:r>
        <w:t>5. What this means for WBI shareholders</w:t>
      </w:r>
    </w:p>
    <w:p>
      <w:pPr>
        <w:pStyle w:val="ListBullet"/>
        <w:spacing w:after="60"/>
      </w:pPr>
      <w:r>
        <w:rPr>
          <w:b/>
        </w:rPr>
        <w:t xml:space="preserve">Your starting position — </w:t>
      </w:r>
      <w:r>
        <w:t>WBI shareholders hold 49% of GenApep, diluting to ~45.3% at the 7.5% pool midpoint — worth ≈ US$15.9M at the US$35M combined planning mid, before any AI.pep/DPW technology credit.</w:t>
      </w:r>
    </w:p>
    <w:p>
      <w:pPr>
        <w:pStyle w:val="ListBullet"/>
        <w:spacing w:after="60"/>
      </w:pPr>
      <w:r>
        <w:rPr>
          <w:b/>
        </w:rPr>
        <w:t xml:space="preserve">Route A outcome (workbook illustration) — </w:t>
      </w:r>
      <w:r>
        <w:t>At an US$80M pre-money IPO with a US$20M raise, WBI shareholders ≈ US$36.3M post-IPO (JV plan, 7.5% pool). MM Studio — WBI's own growth engine (US$2.9M → US$36.3M by 2030) — is the single biggest swing factor in that valuation.</w:t>
      </w:r>
    </w:p>
    <w:p>
      <w:pPr>
        <w:pStyle w:val="ListBullet"/>
        <w:spacing w:after="60"/>
      </w:pPr>
      <w:r>
        <w:rPr>
          <w:b/>
        </w:rPr>
        <w:t xml:space="preserve">Route B outcome (recommended structure) — </w:t>
      </w:r>
      <w:r>
        <w:t>At FVH verified US$10M, WBI shareholders ≈ 35.3% of the listed company — ≈ US$15.9M at the US$45M combined value, and ≈ US$28–35M if the market values the group at US$80–100M. The GLP-1 channel adds a US revenue engine the JV does not otherwise have.</w:t>
      </w:r>
    </w:p>
    <w:p>
      <w:pPr>
        <w:pStyle w:val="ListBullet"/>
        <w:spacing w:after="60"/>
      </w:pPr>
      <w:r>
        <w:rPr>
          <w:b/>
        </w:rPr>
        <w:t xml:space="preserve">The draft IPO MOU's individual allocation — motive and fix — </w:t>
      </w:r>
      <w:r>
        <w:t>It allocated 40% of FVH to one individual and 35% to another, with nothing to the wider shareholder bodies at that step, and produced ~53:47 against the agreed 51:49. The stated driver — avoiding Korean FX filings and dry tax charges on a direct swap — is legitimate (see the Korean tax paths in Section 4), but the arrangement must be documented and must land pro rata: Amendment A2 and Addendum B4/B5 require every shareholder to ride through pro rata — via the holdco block, or via a documented nominee bridge — protecting the wider holders and the two principals alike.</w:t>
      </w:r>
    </w:p>
    <w:p>
      <w:pPr>
        <w:pStyle w:val="ListBullet"/>
        <w:spacing w:after="60"/>
      </w:pPr>
      <w:r>
        <w:rPr>
          <w:b/>
        </w:rPr>
        <w:t xml:space="preserve">Technology upside accrues to the JV — </w:t>
      </w:r>
      <w:r>
        <w:t>AI.pep and the DPW licence sit inside GenApep, so WBI shareholders participate through their block stake; the sweat pool (Keith · Sidney · Charles + team) is the incentive mechanism and survives any change of vehicle (Clause 7.8).</w:t>
      </w:r>
    </w:p>
    <w:p>
      <w:pPr>
        <w:pStyle w:val="Heading2"/>
      </w:pPr>
      <w:r>
        <w:t>6. Fair without Eyesel's numbers — interim assumptions</w:t>
      </w:r>
    </w:p>
    <w:p>
      <w:pPr>
        <w:spacing w:after="120"/>
      </w:pPr>
      <w:r>
        <w:rPr>
          <w:b w:val="0"/>
          <w:i w:val="0"/>
          <w:sz w:val="21"/>
        </w:rPr>
        <w:t>Eyesel's updated financial data is not yet available, and the 51:49 split rests on it. That does not block signing: fairness comes from mechanism, not from guessing the missing numbers. The four devices below let the parties commit now and correct automatically when the data arrives — the first is already drafted into Amendment No. 1.</w:t>
      </w:r>
    </w:p>
    <w:p>
      <w:pPr>
        <w:pStyle w:val="Heading3"/>
      </w:pPr>
      <w:r>
        <w:t>The four mechanisms</w:t>
      </w:r>
    </w:p>
    <w:p>
      <w:pPr>
        <w:pStyle w:val="ListBullet"/>
        <w:spacing w:after="60"/>
      </w:pPr>
      <w:r>
        <w:rPr>
          <w:b/>
        </w:rPr>
        <w:t xml:space="preserve">1. Peg + mandatory true-up (Amendment A1 — already drafted) — </w:t>
      </w:r>
      <w:r>
        <w:t>Sign on a stated basis recorded on the face of the document (Eyesel revenue US$8.0M, value US$15–20M). If verified figures differ by &gt;15%, equalisation is MANDATORY — cash or share adjustment — with an independent valuer deciding if boards cannot agree in 30 days. Symmetric: it also protects Eyesel if its real numbers are higher.</w:t>
      </w:r>
    </w:p>
    <w:p>
      <w:pPr>
        <w:pStyle w:val="ListBullet"/>
        <w:spacing w:after="60"/>
      </w:pPr>
      <w:r>
        <w:rPr>
          <w:b/>
        </w:rPr>
        <w:t xml:space="preserve">2. Verified financials as a condition precedent to the share exchange — </w:t>
      </w:r>
      <w:r>
        <w:t>Not to signing. The exchange is Q1–Q2 2027 and the PCAOB audit produces verified numbers on the critical path anyway — nothing is lost by signing the MOU and Amendment now.</w:t>
      </w:r>
    </w:p>
    <w:p>
      <w:pPr>
        <w:pStyle w:val="ListBullet"/>
        <w:spacing w:after="60"/>
      </w:pPr>
      <w:r>
        <w:rPr>
          <w:b/>
        </w:rPr>
        <w:t xml:space="preserve">3. Escrow holdback (fallback) — </w:t>
      </w:r>
      <w:r>
        <w:t>If the 30-day report deadline slips: hold back 5–8 points of the Eyesel allocation in escrow, released or reallocated on verification.</w:t>
      </w:r>
    </w:p>
    <w:p>
      <w:pPr>
        <w:pStyle w:val="ListBullet"/>
        <w:spacing w:after="60"/>
      </w:pPr>
      <w:r>
        <w:rPr>
          <w:b/>
        </w:rPr>
        <w:t xml:space="preserve">4. Parity of method, not of number — </w:t>
      </w:r>
      <w:r>
        <w:t>The same independent valuer applies the same valuation method and multiples to both companies (both are manufacturing-economics businesses). The parties agree the METHOD today; the numbers follow from the data.</w:t>
      </w:r>
    </w:p>
    <w:p>
      <w:pPr>
        <w:pStyle w:val="Heading3"/>
      </w:pPr>
      <w:r>
        <w:t>Planning numbers until the data arrives</w:t>
      </w:r>
    </w:p>
    <w:tbl>
      <w:tblPr>
        <w:tblStyle w:val="LightGrid-Accent1"/>
        <w:tblW w:type="auto" w:w="0"/>
        <w:jc w:val="center"/>
        <w:tblLook w:firstColumn="1" w:firstRow="1" w:lastColumn="0" w:lastRow="0" w:noHBand="0" w:noVBand="1" w:val="04A0"/>
      </w:tblPr>
      <w:tblGrid>
        <w:gridCol w:w="2880"/>
        <w:gridCol w:w="2880"/>
        <w:gridCol w:w="2880"/>
      </w:tblGrid>
      <w:tr>
        <w:tc>
          <w:tcPr>
            <w:tcW w:type="dxa" w:w="2016"/>
          </w:tcPr>
          <w:p>
            <w:r>
              <w:rPr>
                <w:b/>
                <w:sz w:val="19"/>
              </w:rPr>
              <w:t>Item</w:t>
            </w:r>
          </w:p>
        </w:tc>
        <w:tc>
          <w:tcPr>
            <w:tcW w:type="dxa" w:w="1584"/>
          </w:tcPr>
          <w:p>
            <w:r>
              <w:rPr>
                <w:b/>
                <w:sz w:val="19"/>
              </w:rPr>
              <w:t>Assumption</w:t>
            </w:r>
          </w:p>
        </w:tc>
        <w:tc>
          <w:tcPr>
            <w:tcW w:type="dxa" w:w="5760"/>
          </w:tcPr>
          <w:p>
            <w:r>
              <w:rPr>
                <w:b/>
                <w:sz w:val="19"/>
              </w:rPr>
              <w:t>Rationale</w:t>
            </w:r>
          </w:p>
        </w:tc>
      </w:tr>
      <w:tr>
        <w:tc>
          <w:tcPr>
            <w:tcW w:type="dxa" w:w="2016"/>
          </w:tcPr>
          <w:p>
            <w:r>
              <w:rPr>
                <w:b/>
                <w:sz w:val="19"/>
              </w:rPr>
              <w:t>Eyesel revenue</w:t>
            </w:r>
          </w:p>
        </w:tc>
        <w:tc>
          <w:tcPr>
            <w:tcW w:type="dxa" w:w="1584"/>
          </w:tcPr>
          <w:p>
            <w:r>
              <w:rPr>
                <w:sz w:val="19"/>
              </w:rPr>
              <w:t>US$8.0M peg — NOW VERIFIED</w:t>
            </w:r>
          </w:p>
        </w:tc>
        <w:tc>
          <w:tcPr>
            <w:tcW w:type="dxa" w:w="5760"/>
          </w:tcPr>
          <w:p>
            <w:r>
              <w:rPr>
                <w:sz w:val="19"/>
              </w:rPr>
              <w:t>Statutory FY2025 = ₩10.46B (~$7.47M @1,400 / $6.97M @1,500): inside the 15% band at both rates; condition closable. Fix the FX convention (band breaches above ~₩1,538/$) and pin FY2025 as the reference period (FY2024 would breach)</w:t>
            </w:r>
          </w:p>
        </w:tc>
      </w:tr>
      <w:tr>
        <w:tc>
          <w:tcPr>
            <w:tcW w:type="dxa" w:w="2016"/>
          </w:tcPr>
          <w:p>
            <w:r>
              <w:rPr>
                <w:b/>
                <w:sz w:val="19"/>
              </w:rPr>
              <w:t>Gross margin</w:t>
            </w:r>
          </w:p>
        </w:tc>
        <w:tc>
          <w:tcPr>
            <w:tcW w:type="dxa" w:w="1584"/>
          </w:tcPr>
          <w:p>
            <w:r>
              <w:rPr>
                <w:sz w:val="19"/>
              </w:rPr>
              <w:t>40%</w:t>
            </w:r>
          </w:p>
        </w:tc>
        <w:tc>
          <w:tcPr>
            <w:tcW w:type="dxa" w:w="5760"/>
          </w:tcPr>
          <w:p>
            <w:r>
              <w:rPr>
                <w:sz w:val="19"/>
              </w:rPr>
              <w:t>Mirrors WBI's NTS-certified FY2025 actual — same manufacturing economics</w:t>
            </w:r>
          </w:p>
        </w:tc>
      </w:tr>
      <w:tr>
        <w:tc>
          <w:tcPr>
            <w:tcW w:type="dxa" w:w="2016"/>
          </w:tcPr>
          <w:p>
            <w:r>
              <w:rPr>
                <w:b/>
                <w:sz w:val="19"/>
              </w:rPr>
              <w:t>EBITDA margin</w:t>
            </w:r>
          </w:p>
        </w:tc>
        <w:tc>
          <w:tcPr>
            <w:tcW w:type="dxa" w:w="1584"/>
          </w:tcPr>
          <w:p>
            <w:r>
              <w:rPr>
                <w:sz w:val="19"/>
              </w:rPr>
              <w:t>~12%</w:t>
            </w:r>
          </w:p>
        </w:tc>
        <w:tc>
          <w:tcPr>
            <w:tcW w:type="dxa" w:w="5760"/>
          </w:tcPr>
          <w:p>
            <w:r>
              <w:rPr>
                <w:sz w:val="19"/>
              </w:rPr>
              <w:t>Typical GMP-manufacturer profile; placeholder</w:t>
            </w:r>
          </w:p>
        </w:tc>
      </w:tr>
      <w:tr>
        <w:tc>
          <w:tcPr>
            <w:tcW w:type="dxa" w:w="2016"/>
          </w:tcPr>
          <w:p>
            <w:r>
              <w:rPr>
                <w:b/>
                <w:sz w:val="19"/>
              </w:rPr>
              <w:t>Growth</w:t>
            </w:r>
          </w:p>
        </w:tc>
        <w:tc>
          <w:tcPr>
            <w:tcW w:type="dxa" w:w="1584"/>
          </w:tcPr>
          <w:p>
            <w:r>
              <w:rPr>
                <w:sz w:val="19"/>
              </w:rPr>
              <w:t>~10%/yr</w:t>
            </w:r>
          </w:p>
        </w:tc>
        <w:tc>
          <w:tcPr>
            <w:tcW w:type="dxa" w:w="5760"/>
          </w:tcPr>
          <w:p>
            <w:r>
              <w:rPr>
                <w:sz w:val="19"/>
              </w:rPr>
              <w:t>JV plan placeholder</w:t>
            </w:r>
          </w:p>
        </w:tc>
      </w:tr>
      <w:tr>
        <w:tc>
          <w:tcPr>
            <w:tcW w:type="dxa" w:w="2016"/>
          </w:tcPr>
          <w:p>
            <w:r>
              <w:rPr>
                <w:b/>
                <w:sz w:val="19"/>
              </w:rPr>
              <w:t>Value band</w:t>
            </w:r>
          </w:p>
        </w:tc>
        <w:tc>
          <w:tcPr>
            <w:tcW w:type="dxa" w:w="1584"/>
          </w:tcPr>
          <w:p>
            <w:r>
              <w:rPr>
                <w:sz w:val="19"/>
              </w:rPr>
              <w:t>US$15–20M</w:t>
            </w:r>
          </w:p>
        </w:tc>
        <w:tc>
          <w:tcPr>
            <w:tcW w:type="dxa" w:w="5760"/>
          </w:tcPr>
          <w:p>
            <w:r>
              <w:rPr>
                <w:sz w:val="19"/>
              </w:rPr>
              <w:t>Same band as WBI — symmetric valuation-parity; prejudices neither side</w:t>
            </w:r>
          </w:p>
        </w:tc>
      </w:tr>
    </w:tbl>
    <w:p>
      <w:pPr>
        <w:spacing w:after="40"/>
      </w:pPr>
    </w:p>
    <w:p>
      <w:pPr>
        <w:spacing w:after="120"/>
      </w:pPr>
      <w:r>
        <w:rPr>
          <w:b w:val="0"/>
          <w:i w:val="0"/>
          <w:sz w:val="21"/>
        </w:rPr>
        <w:t>The check to show both boards: on a pure value-proportional basis Eyesel needs a verified value of ≥ ~US$18M (against WBI's US$17.5M mid) to arithmetically support 51%. At US$8.0M revenue that likely requires counting the GMP facility, licences and quality systems as asset value — a legitimate argument, but one that must be documented, or equalisation applies. SEP-2026 UPDATE: statutory FY2025 revenue is ~$7.47M — the '~$15M' figure is contradicted; the 51% rests on Eyesel's earnings (~8.4x WBI net income) and asset base, which the verified accounts support.</w:t>
      </w:r>
    </w:p>
    <w:p>
      <w:pPr>
        <w:spacing w:after="120"/>
      </w:pPr>
      <w:r>
        <w:rPr>
          <w:b/>
          <w:i w:val="0"/>
          <w:sz w:val="21"/>
        </w:rPr>
        <w:t>Structurally, the First Vital discussion never waits on Eyesel's data: under block entry the FVH ratio is GenApep-block vs FVH-verified-value, and the internal 51:49 trues up inside the block without touching the listed-company cap table. Only the internal split is gated — and it self-corrects.</w:t>
      </w:r>
    </w:p>
    <w:p>
      <w:pPr>
        <w:pStyle w:val="Heading2"/>
      </w:pPr>
      <w:r>
        <w:t>7. What must be resolved before definitive documents</w:t>
      </w:r>
    </w:p>
    <w:p>
      <w:pPr>
        <w:pStyle w:val="ListNumber"/>
        <w:spacing w:after="60"/>
      </w:pPr>
      <w:r>
        <w:t>RESOLVED (Sep-2026): Eyesel statutory FY2025 revenue ₩10.46B (~$7.47M @1,400) — inside the 15% band; the ~US$15M figure is contradicted; record the verified basis in Amendment No. 1 with the FX convention fixed and FY2025 pinned as reference period.</w:t>
      </w:r>
    </w:p>
    <w:p>
      <w:pPr>
        <w:pStyle w:val="ListNumber"/>
        <w:spacing w:after="60"/>
      </w:pPr>
      <w:r>
        <w:t>Eyesel principal: Mr. Park (12-Aug MOU) vs Mr. Kim (draft IPO MOU). Written confirmation needed.</w:t>
      </w:r>
    </w:p>
    <w:p>
      <w:pPr>
        <w:pStyle w:val="ListNumber"/>
        <w:spacing w:after="60"/>
      </w:pPr>
      <w:r>
        <w:t>Technology chain of title for AI.pep, CodeLife.AI, IT-EXO, SynExo — condition precedent (Clause 5.7); also DPW's first diligence gap.</w:t>
      </w:r>
    </w:p>
    <w:p>
      <w:pPr>
        <w:pStyle w:val="ListNumber"/>
        <w:spacing w:after="60"/>
      </w:pPr>
      <w:r>
        <w:t>One operating model: WBI-core/MM-Studio/Eyesel margins (JV plan) vs the vial model at 78.5% GM (draft IPO MOU). One architecture must be chosen before any valuation.</w:t>
      </w:r>
    </w:p>
    <w:p>
      <w:pPr>
        <w:pStyle w:val="ListNumber"/>
        <w:spacing w:after="60"/>
      </w:pPr>
      <w:r>
        <w:t>FVH verification: PARTLY RESOLVED NEGATIVE (Sep-2026 DD): Reg A+ 1-A only, pre-revenue, 94.63% single-holder, $500K lifetime capital, 54.18%-FD unissued pool. Remaining gate-zero items: 1-A qualification &amp; amounts actually sold, 1-K/1-SA runway, the $500K note's holder/terms, entity-name chain to the 1-A filer.</w:t>
      </w:r>
    </w:p>
    <w:p>
      <w:pPr>
        <w:pStyle w:val="ListNumber"/>
        <w:spacing w:after="60"/>
      </w:pPr>
      <w:r>
        <w:t>The draft IPO MOU itself: not signable as drafted (individual allocations, FVH Korea vehicle, no sweat pool). To be revised to the block-entry structure above.</w:t>
      </w:r>
    </w:p>
    <w:p>
      <w:pPr>
        <w:pStyle w:val="Heading2"/>
      </w:pPr>
      <w:r>
        <w:t>8. The financial picture (JV plan, planning basis)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872"/>
          </w:tcPr>
          <w:p>
            <w:r>
              <w:rPr>
                <w:b/>
                <w:sz w:val="19"/>
              </w:rPr>
              <w:t>US$M</w:t>
            </w:r>
          </w:p>
        </w:tc>
        <w:tc>
          <w:tcPr>
            <w:tcW w:type="dxa" w:w="1253"/>
          </w:tcPr>
          <w:p>
            <w:r>
              <w:rPr>
                <w:b/>
                <w:sz w:val="19"/>
              </w:rPr>
              <w:t>FY2025A</w:t>
            </w:r>
          </w:p>
        </w:tc>
        <w:tc>
          <w:tcPr>
            <w:tcW w:type="dxa" w:w="1253"/>
          </w:tcPr>
          <w:p>
            <w:r>
              <w:rPr>
                <w:b/>
                <w:sz w:val="19"/>
              </w:rPr>
              <w:t>2026P</w:t>
            </w:r>
          </w:p>
        </w:tc>
        <w:tc>
          <w:tcPr>
            <w:tcW w:type="dxa" w:w="1253"/>
          </w:tcPr>
          <w:p>
            <w:r>
              <w:rPr>
                <w:b/>
                <w:sz w:val="19"/>
              </w:rPr>
              <w:t>2027P</w:t>
            </w:r>
          </w:p>
        </w:tc>
        <w:tc>
          <w:tcPr>
            <w:tcW w:type="dxa" w:w="1253"/>
          </w:tcPr>
          <w:p>
            <w:r>
              <w:rPr>
                <w:b/>
                <w:sz w:val="19"/>
              </w:rPr>
              <w:t>2028P</w:t>
            </w:r>
          </w:p>
        </w:tc>
        <w:tc>
          <w:tcPr>
            <w:tcW w:type="dxa" w:w="1253"/>
          </w:tcPr>
          <w:p>
            <w:r>
              <w:rPr>
                <w:b/>
                <w:sz w:val="19"/>
              </w:rPr>
              <w:t>2029P</w:t>
            </w:r>
          </w:p>
        </w:tc>
        <w:tc>
          <w:tcPr>
            <w:tcW w:type="dxa" w:w="1253"/>
          </w:tcPr>
          <w:p>
            <w:r>
              <w:rPr>
                <w:b/>
                <w:sz w:val="19"/>
              </w:rPr>
              <w:t>2030P</w:t>
            </w:r>
          </w:p>
        </w:tc>
      </w:tr>
      <w:tr>
        <w:tc>
          <w:tcPr>
            <w:tcW w:type="dxa" w:w="1872"/>
          </w:tcPr>
          <w:p>
            <w:r>
              <w:rPr>
                <w:b/>
                <w:sz w:val="19"/>
              </w:rPr>
              <w:t>Revenue</w:t>
            </w:r>
          </w:p>
        </w:tc>
        <w:tc>
          <w:tcPr>
            <w:tcW w:type="dxa" w:w="1253"/>
          </w:tcPr>
          <w:p>
            <w:r>
              <w:rPr>
                <w:sz w:val="19"/>
              </w:rPr>
              <w:t>11.4</w:t>
            </w:r>
          </w:p>
        </w:tc>
        <w:tc>
          <w:tcPr>
            <w:tcW w:type="dxa" w:w="1253"/>
          </w:tcPr>
          <w:p>
            <w:r>
              <w:rPr>
                <w:sz w:val="19"/>
              </w:rPr>
              <w:t>16.4</w:t>
            </w:r>
          </w:p>
        </w:tc>
        <w:tc>
          <w:tcPr>
            <w:tcW w:type="dxa" w:w="1253"/>
          </w:tcPr>
          <w:p>
            <w:r>
              <w:rPr>
                <w:sz w:val="19"/>
              </w:rPr>
              <w:t>25.3</w:t>
            </w:r>
          </w:p>
        </w:tc>
        <w:tc>
          <w:tcPr>
            <w:tcW w:type="dxa" w:w="1253"/>
          </w:tcPr>
          <w:p>
            <w:r>
              <w:rPr>
                <w:sz w:val="19"/>
              </w:rPr>
              <w:t>31.7</w:t>
            </w:r>
          </w:p>
        </w:tc>
        <w:tc>
          <w:tcPr>
            <w:tcW w:type="dxa" w:w="1253"/>
          </w:tcPr>
          <w:p>
            <w:r>
              <w:rPr>
                <w:sz w:val="19"/>
              </w:rPr>
              <w:t>43.8</w:t>
            </w:r>
          </w:p>
        </w:tc>
        <w:tc>
          <w:tcPr>
            <w:tcW w:type="dxa" w:w="1253"/>
          </w:tcPr>
          <w:p>
            <w:r>
              <w:rPr>
                <w:sz w:val="19"/>
              </w:rPr>
              <w:t>58.9</w:t>
            </w:r>
          </w:p>
        </w:tc>
      </w:tr>
      <w:tr>
        <w:tc>
          <w:tcPr>
            <w:tcW w:type="dxa" w:w="1872"/>
          </w:tcPr>
          <w:p>
            <w:r>
              <w:rPr>
                <w:b/>
                <w:sz w:val="19"/>
              </w:rPr>
              <w:t>Operating profit</w:t>
            </w:r>
          </w:p>
        </w:tc>
        <w:tc>
          <w:tcPr>
            <w:tcW w:type="dxa" w:w="1253"/>
          </w:tcPr>
          <w:p>
            <w:r>
              <w:rPr>
                <w:sz w:val="19"/>
              </w:rPr>
              <w:t>0.8</w:t>
            </w:r>
          </w:p>
        </w:tc>
        <w:tc>
          <w:tcPr>
            <w:tcW w:type="dxa" w:w="1253"/>
          </w:tcPr>
          <w:p>
            <w:r>
              <w:rPr>
                <w:sz w:val="19"/>
              </w:rPr>
              <w:t>2.4</w:t>
            </w:r>
          </w:p>
        </w:tc>
        <w:tc>
          <w:tcPr>
            <w:tcW w:type="dxa" w:w="1253"/>
          </w:tcPr>
          <w:p>
            <w:r>
              <w:rPr>
                <w:sz w:val="19"/>
              </w:rPr>
              <w:t>4.5</w:t>
            </w:r>
          </w:p>
        </w:tc>
        <w:tc>
          <w:tcPr>
            <w:tcW w:type="dxa" w:w="1253"/>
          </w:tcPr>
          <w:p>
            <w:r>
              <w:rPr>
                <w:sz w:val="19"/>
              </w:rPr>
              <w:t>6.0</w:t>
            </w:r>
          </w:p>
        </w:tc>
        <w:tc>
          <w:tcPr>
            <w:tcW w:type="dxa" w:w="1253"/>
          </w:tcPr>
          <w:p>
            <w:r>
              <w:rPr>
                <w:sz w:val="19"/>
              </w:rPr>
              <w:t>8.9</w:t>
            </w:r>
          </w:p>
        </w:tc>
        <w:tc>
          <w:tcPr>
            <w:tcW w:type="dxa" w:w="1253"/>
          </w:tcPr>
          <w:p>
            <w:r>
              <w:rPr>
                <w:sz w:val="19"/>
              </w:rPr>
              <w:t>12.5</w:t>
            </w:r>
          </w:p>
        </w:tc>
      </w:tr>
    </w:tbl>
    <w:p>
      <w:pPr>
        <w:spacing w:after="40"/>
      </w:pPr>
    </w:p>
    <w:p>
      <w:pPr>
        <w:spacing w:after="120"/>
      </w:pPr>
      <w:r>
        <w:rPr>
          <w:b w:val="0"/>
          <w:i/>
          <w:color w:val="555555"/>
          <w:sz w:val="18"/>
        </w:rPr>
        <w:t>Combined pre-JV valuation planning range US$30–40M (before AI.pep/DPW credit); illustrative IPO US$80M pre-money + US$20M primary raise. First Vital adds the GLP-1 line (US$2.2M → US$16.7M proforma) under Route B.</w:t>
      </w:r>
    </w:p>
    <w:p>
      <w:pPr>
        <w:pStyle w:val="Heading2"/>
      </w:pPr>
      <w:r>
        <w:t>9. Decisions requested</w:t>
      </w:r>
    </w:p>
    <w:p>
      <w:pPr>
        <w:pStyle w:val="ListNumber"/>
        <w:spacing w:after="60"/>
      </w:pPr>
      <w:r>
        <w:t>Sign Amendment No. 1 and start Stage 1 now (both boards).</w:t>
      </w:r>
    </w:p>
    <w:p>
      <w:pPr>
        <w:pStyle w:val="ListNumber"/>
        <w:spacing w:after="60"/>
      </w:pPr>
      <w:r>
        <w:t>Treat Addendum A as the gate for any First Vital discussion; sign it when ready to consider Route B.</w:t>
      </w:r>
    </w:p>
    <w:p>
      <w:pPr>
        <w:pStyle w:val="ListNumber"/>
        <w:spacing w:after="60"/>
      </w:pPr>
      <w:r>
        <w:t>Instruct the FA to obtain FVH's CIK and complete EDGAR index, and July–August GLP-1 actuals — this week.</w:t>
      </w:r>
    </w:p>
    <w:p>
      <w:pPr>
        <w:pStyle w:val="ListNumber"/>
        <w:spacing w:after="60"/>
      </w:pPr>
      <w:r>
        <w:t>Eyesel: deliver the updated financial report and confirm the principal — within 30 days.</w:t>
      </w:r>
    </w:p>
    <w:p>
      <w:pPr>
        <w:pStyle w:val="ListNumber"/>
        <w:spacing w:after="60"/>
      </w:pPr>
      <w:r>
        <w:t>Appoint the PCAOB-registered auditor in Q4-2026 (critical path), scoped for either route.</w:t>
      </w:r>
    </w:p>
    <w:p>
      <w:pPr>
        <w:pStyle w:val="ListNumber"/>
        <w:spacing w:after="60"/>
      </w:pPr>
      <w:r>
        <w:t>Do not sign the draft IPO MOU in its current form; instruct revision to the value-based block-entry structure.</w:t>
      </w:r>
    </w:p>
    <w:p>
      <w:pPr>
        <w:pStyle w:val="ListNumber"/>
        <w:spacing w:after="60"/>
      </w:pPr>
      <w:r>
        <w:t>Progress the DPW framework to asset-level term sheets only after chain-of-title is documented.</w:t>
      </w:r>
    </w:p>
    <w:p>
      <w:pPr>
        <w:pStyle w:val="Heading2"/>
      </w:pPr>
      <w:r>
        <w:t>10. Document map</w:t>
      </w:r>
    </w:p>
    <w:tbl>
      <w:tblPr>
        <w:tblStyle w:val="LightGrid-Accent1"/>
        <w:tblW w:type="auto" w:w="0"/>
        <w:jc w:val="center"/>
        <w:tblLook w:firstColumn="1" w:firstRow="1" w:lastColumn="0" w:lastRow="0" w:noHBand="0" w:noVBand="1" w:val="04A0"/>
      </w:tblPr>
      <w:tblGrid>
        <w:gridCol w:w="4320"/>
        <w:gridCol w:w="4320"/>
      </w:tblGrid>
      <w:tr>
        <w:tc>
          <w:tcPr>
            <w:tcW w:type="dxa" w:w="3744"/>
          </w:tcPr>
          <w:p>
            <w:r>
              <w:rPr>
                <w:b/>
                <w:sz w:val="19"/>
              </w:rPr>
              <w:t>Document</w:t>
            </w:r>
          </w:p>
        </w:tc>
        <w:tc>
          <w:tcPr>
            <w:tcW w:type="dxa" w:w="5616"/>
          </w:tcPr>
          <w:p>
            <w:r>
              <w:rPr>
                <w:b/>
                <w:sz w:val="19"/>
              </w:rPr>
              <w:t>Read it for</w:t>
            </w:r>
          </w:p>
        </w:tc>
      </w:tr>
      <w:tr>
        <w:tc>
          <w:tcPr>
            <w:tcW w:type="dxa" w:w="3744"/>
          </w:tcPr>
          <w:p>
            <w:r>
              <w:rPr>
                <w:b/>
                <w:sz w:val="19"/>
              </w:rPr>
              <w:t>WBI × Eyesel MOU (12 Aug 2026)</w:t>
            </w:r>
          </w:p>
        </w:tc>
        <w:tc>
          <w:tcPr>
            <w:tcW w:type="dxa" w:w="5616"/>
          </w:tcPr>
          <w:p>
            <w:r>
              <w:rPr>
                <w:sz w:val="19"/>
              </w:rPr>
              <w:t>The Joint Venture itself — structure, 51:49, contributions, governance.</w:t>
            </w:r>
          </w:p>
        </w:tc>
      </w:tr>
      <w:tr>
        <w:tc>
          <w:tcPr>
            <w:tcW w:type="dxa" w:w="3744"/>
          </w:tcPr>
          <w:p>
            <w:r>
              <w:rPr>
                <w:b/>
                <w:sz w:val="19"/>
              </w:rPr>
              <w:t>Amendment No. 1</w:t>
            </w:r>
          </w:p>
        </w:tc>
        <w:tc>
          <w:tcPr>
            <w:tcW w:type="dxa" w:w="5616"/>
          </w:tcPr>
          <w:p>
            <w:r>
              <w:rPr>
                <w:sz w:val="19"/>
              </w:rPr>
              <w:t>Nine fixes needed under every scenario; read Part 1 table first.</w:t>
            </w:r>
          </w:p>
        </w:tc>
      </w:tr>
      <w:tr>
        <w:tc>
          <w:tcPr>
            <w:tcW w:type="dxa" w:w="3744"/>
          </w:tcPr>
          <w:p>
            <w:r>
              <w:rPr>
                <w:b/>
                <w:sz w:val="19"/>
              </w:rPr>
              <w:t>Addendum A</w:t>
            </w:r>
          </w:p>
        </w:tc>
        <w:tc>
          <w:tcPr>
            <w:tcW w:type="dxa" w:w="5616"/>
          </w:tcPr>
          <w:p>
            <w:r>
              <w:rPr>
                <w:sz w:val="19"/>
              </w:rPr>
              <w:t>Route A/B machinery and the protections for any external listing counterparty.</w:t>
            </w:r>
          </w:p>
        </w:tc>
      </w:tr>
      <w:tr>
        <w:tc>
          <w:tcPr>
            <w:tcW w:type="dxa" w:w="3744"/>
          </w:tcPr>
          <w:p>
            <w:r>
              <w:rPr>
                <w:b/>
                <w:sz w:val="19"/>
              </w:rPr>
              <w:t>GenApep JV Financial Plan (xlsx)</w:t>
            </w:r>
          </w:p>
        </w:tc>
        <w:tc>
          <w:tcPr>
            <w:tcW w:type="dxa" w:w="5616"/>
          </w:tcPr>
          <w:p>
            <w:r>
              <w:rPr>
                <w:sz w:val="19"/>
              </w:rPr>
              <w:t>The boards' own numbers: 5-year plan, valuation &amp; dilution, IPO roadmap, sensitivity.</w:t>
            </w:r>
          </w:p>
        </w:tc>
      </w:tr>
      <w:tr>
        <w:tc>
          <w:tcPr>
            <w:tcW w:type="dxa" w:w="3744"/>
          </w:tcPr>
          <w:p>
            <w:r>
              <w:rPr>
                <w:b/>
                <w:sz w:val="19"/>
              </w:rPr>
              <w:t>Stage 2 Integration Framework</w:t>
            </w:r>
          </w:p>
        </w:tc>
        <w:tc>
          <w:tcPr>
            <w:tcW w:type="dxa" w:w="5616"/>
          </w:tcPr>
          <w:p>
            <w:r>
              <w:rPr>
                <w:sz w:val="19"/>
              </w:rPr>
              <w:t>The full First Vital analysis: sequencing, conflicts register, diligence programme, go/no-go.</w:t>
            </w:r>
          </w:p>
        </w:tc>
      </w:tr>
      <w:tr>
        <w:tc>
          <w:tcPr>
            <w:tcW w:type="dxa" w:w="3744"/>
          </w:tcPr>
          <w:p>
            <w:r>
              <w:rPr>
                <w:b/>
                <w:sz w:val="19"/>
              </w:rPr>
              <w:t>GLP-1 proforma (xlsx)</w:t>
            </w:r>
          </w:p>
        </w:tc>
        <w:tc>
          <w:tcPr>
            <w:tcW w:type="dxa" w:w="5616"/>
          </w:tcPr>
          <w:p>
            <w:r>
              <w:rPr>
                <w:sz w:val="19"/>
              </w:rPr>
              <w:t>FVH's programme model — revenue-only; note the MRR-sheet labelling issue.</w:t>
            </w:r>
          </w:p>
        </w:tc>
      </w:tr>
      <w:tr>
        <w:tc>
          <w:tcPr>
            <w:tcW w:type="dxa" w:w="3744"/>
          </w:tcPr>
          <w:p>
            <w:r>
              <w:rPr>
                <w:b/>
                <w:sz w:val="19"/>
              </w:rPr>
              <w:t>GenApep × DPW Licensing Framework</w:t>
            </w:r>
          </w:p>
        </w:tc>
        <w:tc>
          <w:tcPr>
            <w:tcW w:type="dxa" w:w="5616"/>
          </w:tcPr>
          <w:p>
            <w:r>
              <w:rPr>
                <w:sz w:val="19"/>
              </w:rPr>
              <w:t>The technology-licence structure with Richards Group's DPW; scenario menu and diligence gaps.</w:t>
            </w:r>
          </w:p>
        </w:tc>
      </w:tr>
      <w:tr>
        <w:tc>
          <w:tcPr>
            <w:tcW w:type="dxa" w:w="3744"/>
          </w:tcPr>
          <w:p>
            <w:r>
              <w:rPr>
                <w:b/>
                <w:sz w:val="19"/>
              </w:rPr>
              <w:t>Draft IPO Framework MOU</w:t>
            </w:r>
          </w:p>
        </w:tc>
        <w:tc>
          <w:tcPr>
            <w:tcW w:type="dxa" w:w="5616"/>
          </w:tcPr>
          <w:p>
            <w:r>
              <w:rPr>
                <w:sz w:val="19"/>
              </w:rPr>
              <w:t>The earlier FVH draft — superseded in approach by this briefing; do not sign as-is.</w:t>
            </w:r>
          </w:p>
        </w:tc>
      </w:tr>
    </w:tbl>
    <w:p>
      <w:pPr>
        <w:spacing w:after="40"/>
      </w:pPr>
    </w:p>
    <w:p>
      <w:pPr>
        <w:spacing w:after="120"/>
        <w:jc w:val="center"/>
      </w:pPr>
      <w:r>
        <w:rPr>
          <w:b w:val="0"/>
          <w:i/>
          <w:color w:val="555555"/>
          <w:sz w:val="17"/>
        </w:rPr>
        <w:t>Prepared to open discussion at the WBI and Eyesel boards. All terms subject to diligence, valuations and definitive agreements.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335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335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335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