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work contacts, a charity community network, university support channels and the author's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Stage 3 thereby changed a package of participant-facing clinical cues: no clinical pre-scan was conducted, clinical and fall-risk terminology was removed, participant-facing clinical outputs were withheld, recruitment described a coordination challenge, and the interface was re-skinned.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After the Stage-3 analysis, a single expert consultation interview was conducted with Dr Sarah C.W. Yuan (Center on the Family, University of Hawai'i at Mānoa), a medical sociologist and demographer of aging whose field of practice is community group falls-prevention programming. The purpose was to test the programme's behavioural interpretation against an independent discipline and an independent field of practice — non-electronic group exercise and physical games for balance — in which none of this programme's apparatus is used. The consultation informs interpretation and design (§6.8A, §7.5.3) and is not treated as participant data; the record and its attribution basis are given in Appendix H.</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the approval reference and coverage statement are recorded in the ethics documentation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(SS-293).</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recruitment and session language described a coordination challenge,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work contacts, a charity community network, university support channels and working peers in medical centres — in three age bands: 38 aged 25-44, 41 aged 45-64 and 41 aged 65-80. Recruitment materials referred to a coordination challenge and did not use medical or fall-prevention language.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a single expert consultation interview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on 25 July 2026;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V29: H.5 guide; H.2 dated (interview 25 Jul 2026, consent 22 Jul 2026).</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