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Stage 3 thereby changed a package of participant-facing clinical cues: no clinical pre-scan was conducted, clinical and fall-risk terminology was removed, participant-facing clinical outputs were withheld, recruitment described a coordination challenge, and the interface was re-skinned.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the approval reference and coverage statement are recorded in the ethics documentation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recruitment and session language described a coordination challenge,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Recruitment materials referred to a coordination challenge and did not use medical or fall-prevention language.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V29: Appendix H.5 interview guide added (from the archived guide file).</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