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the one theoretical element of this thesis that was not found in the literature but generated from its field observations, and it deserves to be stated as such.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offered as a contribution of the research observation, not of the literature.</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three design responses — zero-failure presentation, the research-generated inversion of Octalysis D8 (§2.6.2C); participant-facing decoupling, for which Stage 3 (Chapter 6) provides between-cohort field evidence; and learning-oriented adaptation (LODF, Chapter 7), which binds both into a framework that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The framework is appropriate to an EngD study because the artefact and the theoretical interpretation evolved in response to field observations. The revisions are documented as changes in working explanation: from FIDS toward the provisional FIAS construct after Stage 1 and Stage 2; from a predominantly dispositional account toward a frame-sensitive account after Stage 3; and from decoupling alone toward LODF as a proposed design programme. These revisions are not equivalent to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was administered face-to-face by nursing staff. The final thesis must report one exact participant flow and denominator consistently; current working text contains both approximately 200 and approximately 280 and therefore requires author verification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The primary analytical contribution was prospective characterisation of engagement, failure events and observed non-return within the study window.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 xml:space="preserve">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w:t>
      </w:r>
      <w:r>
        <w:lastRenderedPageBreak/>
        <w:t>combined association of the decoupled condition and its context with behaviour; it does not isolate a single causal variable.</w:t>
      </w:r>
    </w:p>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Figure 3.1 summarises the programme as a sequence of empirical stages and theoretical revisions. The figure should be read as an action-research logic model rather than as a single causal experiment. Stage 1 is descriptive and hypothesis-generating; Stage 2 is prospective and mechanism-generating; Stage 3 is quasi-experimental and challenges a purely dispositional explanation; Chapter 7 translates the combined evidence into a design framework for future controlled testing.</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The programme advances the hypothesis that learning-trajectory appraisal may reduce the dominance of an endowment-protective interpretation of failure. The present stages support this hypothesis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two purposes. The first was to characterise the utilisation and non-return problem at the Poly Group facility descriptively. The second was to examine whether TAM, STAM and Octalysis explicitly represent the post-contact event suggested by residents' reports, and to generate a theoretically grounded construct for prospective investigation. Stage 1 was not designed to validate FIAS or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Six Yes/No items were administered face-to-face by nursing staff in July and August 2024 to residents aged 65-88 who met the stated eligibility criteria. The final thesis must replace the approximate sample size with the exact number approached, eligible, consenting and completing the instrument, together with item-level missingness. Face-to-face administration reduced literacy and digital-skill barriers but may also have introduced interviewer and social-desirability effects.</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highlight w:val="yellow"/>
        </w:rPr>
        <w:t>AUTHOR VERIFICATION REQUIRED BEFORE FINAL BINDING: reconcile N≈200 versus N≈280; confirm the exact wording and denominator behind the reported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often operationalised through performance gains. For retired older adults, usefulness may involve safety, independence, confidence and quality of life rather than job performance. More importantly for this thesis, standard acceptance models emphasise beliefs and intentions before or during adoption and do not usually model a discrete post-contact failure event as a time-varying predictor of later non-return. The Stage-1 data suggest that such an event deserves explicit study;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Park et al. (2019) and Kim et al. (2018) reported that comparable Korean residential facilities using similar FRA technology achieved approximately 75% sustained engagement after introducing gamified balance exercises. The Korean comparison is a benchmark, not an explanation: the design lever that produces 75% retention in Korea has not been identified in the literature. The thesis's empirical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a documented utilisation and non-return problem signature, identifies a post-contact event that is not explicit in TAM, STAM or Octalysis, and generates the provisional FIAS construct and associated hypotheses. It does not validate FIAS, establish permanence, or identify mental accounting, endowment or stereotype threat as causal mechanisms. Those propositions are examined through prospective behaviour in Stage 2 and challenged through participant-facing decoupling in Stage 3.</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 xml:space="preserve">A provisional FIAS composite score was applied to the thirty participants using STAM- and Octalysis-derived attributes. </w:t>
      </w:r>
      <w:r>
        <w:t xml:space="preserve">The composite is assembled from thirteen binary attributes drawn from STAM and selected Octalysis drives and is reported on a 0–10 range; the rule that maps the thirteen items onto that range is specified in the codebook in Appendix B </w:t>
      </w:r>
      <w:r>
        <w:rPr>
          <w:b/>
          <w:highlight w:val="yellow"/>
        </w:rPr>
        <w:t>[AUTHOR INPUT REQUIRED: state the weighting or collapsing rule that maps the thirteen items onto the 0–10 composite]</w:t>
      </w:r>
      <w:r>
        <w:t xml:space="preserve">. </w:t>
      </w:r>
      <w:r>
        <w:t xml:space="preserve"> Six participants clustered at scores 9-10 (F4). Three of the six recorded positive change in the FRA index during their single session and did not return during the observation period. This is termed the objective-score-improvement/non-return paradox.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 xml:space="preserve">Stage 2 extended the FIAS hypothesis with three candidate theoretical components. First, identity-relevant endowment was proposed as a way to conceptualise resistance to unfavourable revaluation of a valued health self-concept. Second, stereotype threat was proposed as one possible trigger by which clinical or age-related cues increase the salience of decline. Third, domain reframing was identified as a candidate intervention: presenting the task as a coordination challenge may change the meaning of failure. These operators were not directly measured. H5 was therefore reframed as a directional test of </w:t>
      </w:r>
      <w:r>
        <w:lastRenderedPageBreak/>
        <w:t>whether a participant-facing decoupling package is associated with more post-failure return,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Stage 2 left two questions unresolved. First, was the low proportion classified as learning-oriented a stable characteristic of the Guangzhou cohort, an artefact of the week-2 coding scheme, or a response shaped by the clinical-game context? Second, would post-failure return differ when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Stage 3 made three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 xml:space="preserve">Stage 3 deliberately did not collect participant-level clinical balance telemetry, so the Stage-2 score-improvement/non-return pattern cannot be replicated directly. What Stage 3 measures is a different outcome: whether participants who initially disengaged returned </w:t>
      </w:r>
      <w:r>
        <w:lastRenderedPageBreak/>
        <w:t>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one is observed session completion and the other is a hypothetical future intention. The difference is useful as a design diagnostic, but it should not be interpreted as a measured causal effect or as evidence that adaptive learning is the missing mechanism.</w:t>
      </w:r>
    </w:p>
    <w:p w14:paraId="0A108184" w14:textId="77777777" w:rsidR="0062437E" w:rsidRDefault="00000000">
      <w:pPr>
        <w:jc w:val="both"/>
      </w:pPr>
      <w:r>
        <w:t xml:space="preserve">Several explanations are plausible. Participants may have completed a single session but anticipated fatigue, access barriers, scheduling burden, insufficient relevance, motor difficulty or limited enjoyment from repeated play. A missing trajectory frame is one theoretically grounded possibility among these alternatives. The near-term study should therefore combine longitudinal behavioural follow-up with interviews or validated </w:t>
      </w:r>
      <w:r>
        <w:lastRenderedPageBreak/>
        <w:t>measures of fatigue, perceived competence, autonomy, burden, enjoyment and identity relevance before selecting the design lever.</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Stage 3 showed substantially greater post-failure return under a participant-facing decoupled condition and also revealed a difference between immediate session retention and stated regular-use intention in the oldest age band. Decoupling changes what the activity is not - it reduces overt clinical-verdict cues - but does not necessarily create a compelling positive reason for repeated use. Adaptive learning is introduced as one design response because it can make progress, next steps and personally calibrated challenge visible over time. The empirical programme motivates this response; it does not establish that adaptive learning will close the observed difference.</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 xml:space="preserve">Adaptive learning has a substantial literature in educational technology and intelligent tutoring systems. Its application to elderly users in gamified health contexts is more limited. Three anchors are relevant. First, intelligent tutoring systems for older learners (Hawthorn, 2007; Lee &amp; Coughlin, 2015) demonstrate that pacing and feedback adaptation matter more for older users than for younger users. Second, flow theory and the zone-of-proximal-development tradition (Csikszentmihalyi 1990; cf. Vygotsky) provide the mechanism for why adaptive calibration sustains engagement: challenge tracks evolving capability, neither falling below boredom nor rising above frustration. Third, productive failure (Kapur, 2008) reframes failure events as part of the learning </w:t>
      </w:r>
      <w:r>
        <w:lastRenderedPageBreak/>
        <w:t>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 xml:space="preserve">LODF organises three proposed principles.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w:t>
      </w:r>
      <w:r>
        <w:lastRenderedPageBreak/>
        <w:t>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First, it identifies failure-associated non-return as a post-contact behaviour that is not explicit in standard acceptance and gamification models. Second, it develops the FIDS-to-FIAS terminological revision and defines FIAS as a provisional, non-diagnostic behavioural construct. Third, it integrates self-efficacy, loss aversion, identity-relevant endowment, mental accounting and stereotype threat into a candidate frame-sensitive account that yields testable predictions. Fourth, it proposes that learning-trajectory appraisal can compete with a fixed-verdict appraisal and translates that proposition into LODF. The thesis does not claim to have verified mental accounting, established an entropy collapse, dissolved the score-improvement/non-return paradox, or demonstrated mutual exclusivity between endowment and adaptive learning.</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dual-purpose mechanic linking gameplay and a measurement pathway in one physical action; documentation of the Claude Code-assisted development workflow; theory-iterating action research with explicit revision points; a between-cohort quasi-experimental participant-facing decoupling comparison; and the use of a commitment-gap description to separate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LODF is engineering-actionable in the sense that its components can be specified on existing infrastructure. Its empirical status is that of a proposed framework informed by field evidence and learning theory. The reference stack and prototype specification translate principles into components, while the applied case studies illustrate hypotheses for other domains.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 xml:space="preserve">FIAS is therefore advanced as a provisional construct describing failure-associated active non-return under identity-relevant conditions. The thesis's principal theoretical contribution is the identification of coupling and framing as a plausible locus of </w:t>
      </w:r>
      <w:r>
        <w:lastRenderedPageBreak/>
        <w:t>engagement risk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preserve the viability of gamified coordination and balance activities for older users. The findings do not imply that game design theory fails in clinical settings. Rather, they indicate that the participant-facing relationship between gameplay, assessment language and clinical interpretation deserves explicit design attention.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 xml:space="preserve">Adaptive learning is proposed as one design response because it can present performance as a trajectory, specify the next achievable step and calibrate challenge, feedback and </w:t>
      </w:r>
      <w:r>
        <w:lastRenderedPageBreak/>
        <w:t>pacing. LODF formalises three components: identity disentanglement, trajectory installation and adaptive calibration. The framework is not yet empirically validated as a package, and the Stage-3 result should not be treated as a test of adaptive learning.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 xml:space="preserve">The thesis offers four theoretical contributions. First, it identifies failure-associated non-return as a post-contact problem insufficiently represented in standard acceptance models. Second, it introduces FIAS as a provisional, non-diagnostic construct that distinguishes active non-return from administrative dropout. Third, it integrates self-efficacy and behavioural-economics literatures into a candidate frame-sensitive mechanism with </w:t>
      </w:r>
      <w:r>
        <w:lastRenderedPageBreak/>
        <w:t>explicit measurement requirements. Fourth, it formulates endowment-protective and learning-trajectory appraisals as competing regimes and translates that formulation into a falsifiable engineering framework. The thesis does not claim empirical verification of mental accounting, irreversible account closure or mutual exclusion.</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a deployable design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At the individual level, an adverse first experience may be interpreted in ways that influence return. At the cohort level, first failure was associated with observed dropout in Stage 2, while post-failure return was substantially higher in a separate Stage-3 decoupled cohort. At the design level, these findings motivate participant-facing decoupling, trajectory-oriented feedback and adaptive calibration. At the system level, they motivate a future comparison between telemetry-conditioned and person-conditioned adaptation. The evidence is strongest at the behavioural level and progressively more provisional as it moves toward mechanism and future architecture.</w:t>
      </w:r>
    </w:p>
    <w:p w14:paraId="3CB31C06" w14:textId="77777777" w:rsidR="0062437E" w:rsidRDefault="00000000">
      <w:pPr>
        <w:jc w:val="both"/>
      </w:pPr>
      <w:r>
        <w:t>The contribution is therefore a calibrated chain rather than one mechanism demonstrated at four scales.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