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End-of-window retention was 93.3% overall and 85.4% in the 65-80 band among the 120 participants whose returned files were compiled (returned dropouts counted as retained; the invitation denominator and return timing are not recoverable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to 15 October 2026 are documented descriptively in Appendix I and are not used to test the adaptive-learning proposition, which is carried forward as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r>
      <w:r/>
      <w:r>
        <w:rPr/>
      </w:r>
      <w:r/>
      <w:r>
        <w:rPr/>
      </w:r>
      <w:r/>
      <w:r>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examiner's report of 15 September 2026 asks that this be verified against the approved protocol or an amendment, so whether the Stage-3B collection falls within the approved scope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120 results files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The classifications follow a failure-then-stop rule stated by the author (30 September 2026): initial dropout denotes a participant who stopped playing after a failure or a game over; the aggregate register labels this outcome 'dropped out before completing 5 attempts'. Some participants received an earlier version of the build in which a run could end in a game over, while most played the archived build with its zero-failure mode; which participants received which version was not recorded.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after that failure.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The participant-level compilation into the logbook (Appendix G, item G.3), whose telemetry schema includes a session-date field, is the vehicle for stating that rule and per-participant observation timelines from the returned files, where those files record session dates; until it is complete, the dropout and return counts are reported as compiled, subject to this definitional limit. Observed non-return denotes an initial dropout who never played again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participant-level sheets, aggregate results and reconciliation harness (item G.3); the photographic and screenshot record (items G.4 and G.6); the AI prompt-template archive with the deployed endpoint and run-time settings (item G.7);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de-identified Stage-3 distribution and return e-mail index (item G.5), which remains to be compiled from the retained e-mails; the completed manifest and lineage rows themselves — including code versions, hardware, input devices and the cleaning and derivation scripts behind each output table — together with the Stage-2 session-level telemetry and AI-call logs, which will either be archived with items G.2 and G.7 or have their non-retention stated in one disclosed sentence;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 build's logged results file.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window 15 Sep–15 Oct 2026 closes at the thesis cut-off; later returns to 15 Oct entered in Table I.4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window and the thesis cut-off close on 15 October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to be recorded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examiner's report, however,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