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rPr>
          <w:rFonts w:ascii="Times New Roman" w:cs="Times New Roman" w:eastAsia="SimSun" w:hAnsi="Times New Roman"/>
          <w:b/>
          <w:bCs/>
          <w:color w:val="1F2A36"/>
          <w:sz w:val="40"/>
          <w:szCs w:val="40"/>
        </w:rPr>
        <w:t xml:space="preserve">Section-Keyed Comment Schedule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1F2A36"/>
          <w:sz w:val="24"/>
          <w:szCs w:val="24"/>
        </w:rPr>
        <w:t xml:space="preserve">EngD Thesis Final Submission Review — Companion to the Examiner's Review Report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i/>
          <w:iCs/>
          <w:sz w:val="22"/>
          <w:szCs w:val="22"/>
        </w:rPr>
        <w:t xml:space="preserve">Thesis: Gamification as Proactive Approach for Continuous Improvement and Innovation Enhancement — Sidney K. T. Tam</w:t>
      </w:r>
    </w:p>
    <w:p>
      <w:pPr>
        <w:spacing w:after="36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Document reviewed: Full_V66_EngD_Thesis_Submission_Draft.docx · Report date: 2 October 2026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How to Use This Schedule</w:t>
      </w:r>
    </w:p>
    <w:p>
      <w:pPr>
        <w:spacing w:after="140" w:line="288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Every entry is keyed to the thesis's own section numbering so that each comment can be actioned and ticked off without ambiguity. Severity grades: A = institutional or governance action required, blocking acceptance; B = substantive revision from existing records, blocking submission until resolved or explicitly qualified; C = editorial or production matter, blocking physical submission. Items marked C-block are the ones whose presence in a submitted document would itself be evidence of incompleteness. This schedule should be read with the Examiner's Review Report, which supplies the reasoning behind each grade.</w:t>
      </w:r>
    </w:p>
    <w:p>
      <w:pPr>
        <w:pStyle w:val="Heading1"/>
        <w:spacing w:after="140" w:line="288"/>
      </w:pPr>
      <w:r>
        <w:rPr>
          <w:rFonts w:ascii="Times New Roman" w:cs="Times New Roman" w:eastAsia="SimSun" w:hAnsi="Times New Roman"/>
          <w:b/>
          <w:bCs/>
          <w:color w:val="1F2A36"/>
          <w:sz w:val="26"/>
          <w:szCs w:val="26"/>
        </w:rPr>
        <w:t xml:space="preserve">Contents</w:t>
      </w:r>
    </w:p>
    <w:p>
      <w:pPr>
        <w:spacing w:after="140" w:line="288"/>
      </w:pPr>
      <w:r>
        <w:rPr>
          <w:rFonts w:ascii="Times New Roman" w:cs="Times New Roman" w:eastAsia="SimSun" w:hAnsi="Times New Roman"/>
          <w:i/>
          <w:iCs/>
          <w:color w:val="7A8896"/>
          <w:sz w:val="20"/>
          <w:szCs w:val="20"/>
        </w:rPr>
        <w:t xml:space="preserve">Right-click the table and choose Update Field to refresh page numbers.</w:t>
      </w:r>
    </w:p>
    <w:sdt xmlns:w="http://schemas.openxmlformats.org/wordprocessingml/2006/main">
      <w:sdtPr>
        <w:alias w:val="Contents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How to Use This Schedule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1. Front Matter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2. Chapter 1 — Introduction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3. Chapter 3 — Research Methodology (Ethics)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4. Chapter 4 — Stage 1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5. Chapter 5 — Stage 2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6. Chapter 6 — Stage 3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7. Chapter 7 — Discussion and Framework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8. Chapter 8 — Contributions, Limitations, Ethics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9. Chapter 9 — Conclusion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10. Appendices A–I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11. Contribution Framing and Title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12. Final Production Pass</w:t>
          </w:r>
          <w:r>
            <w:tab/>
          </w:r>
          <w:r>
            <w:t>7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1. Front Matter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Certificate of Originality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signature line is blank.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Sign before submission.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Abstract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Abstract body is 498 words against the University's 500-word ceiling — zero margin for any late edit.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Trim to approximately 470 words without changing content.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Table of Contents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§1.2 entry ("Why the Empty Station Is an Industry Problem, Not a Local Problem") does not match the body heading ("The Empty Station as a Service-Design Problem"); Appendix I carries no page number.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Regenerate the ToC as a Word field at final production.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List of Figures / List of Tables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Figures 2.1 and 8.1 are missing from the List of Figures; the List of Tables orders Table 9.3 before Table 9.2.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Regenerate both lists as Word fields; verify every float is listed once.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Acknowledgements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"Professor Cheung" appears both as supervisor and as a member of the thanked An–Cheung–Willoughby team, which reads as two different people.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Reword so the dual role is unambiguous.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2. Chapter 1 — Introduction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Figure 1.1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Image alternative text contains a production artefact: "V39 revised conceptual figure associated with source paragraph 320".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Clean all image alt text across the document.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§1.9, §1.13, Abstract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thesis repeatedly cites a Stage-3B record cut-off of 15 October 2026 that is in the future relative to submission, with a stated "completion step" after it.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Close the record at an actual past date (the 29–30 September record is complete) and restate the cut-off throughout, or hold submission until the window closes and the entries are final.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3. Chapter 3 — Research Methodology (Ethics)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§3.4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Ethics application submitted 6 August 2026 and approved the same day, after Stages 1–3A and the first consultations were conducted; the thesis records that no itemised institutional determination on the individual consent arrangements is yet part of the record.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Obtain a formal determination from the Departmental Research Committee / IRB that the retrospective approval validly covers the procedures and consent arrangements as conducted; write the determination into §3.4.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§3.4 (Stage 2)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Incomplete disclosure during the deployment; written consent obtained retrospectively and only from the nine sustained participants; the 21 dropouts' therapist-mediated, researcher-attributed data are used without their consent.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Include the itemised institutional determination on these specific arrangements (disclosure rationale, gatekeeper consent, retrospective instruments); if the committee requires it, add an explicit limitations statement on the dropout data.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§3.4 (Stage 3)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Consent documentation rests on a participant invitation reconstructed on 4 August 2026; returned materials not retained individually.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State the reconstruction plainly to the committee and in §3.4 (already done in the thesis); confirm the committee accepts implied consent on this provenance.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§3.4 / Appendix I.7 (Stage 3B)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Whether the Stage-3B collection falls within the approved scope is recorded as an open item; the supervisor's protocol sign-off is not recorded as closed.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Close both items institutionally before submission; the thesis must report the determination, not the question.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4. Chapter 4 — Stage 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§4.1A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Broken cross-references: "(s8.7, s8.8)" lacking the section symbol.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Restore "(§8.7, §8.8)".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§4.2 / Table 4.1 / item G.1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cleaned Stage-1 response file is not archived; the conditional figures (~74%, ~82%) are rounded approximations whose item-level counts are not reproduced; the 65–88 age range was withdrawn as a reporting error.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Deposit G.1 and reproduce the item-level integer counts; if the file cannot be recovered, carry the provenance limitation into every passage where the survey figures do argumentative work, including the abstract.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5. Chapter 5 — Stage 2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§5.5 vs §8.3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§5.5 states the single-session margins do not identify the joint count of score-increase-without-symptom-improvement; §8.3 reports exactly that joint count (3 of 8; 2 of 7 excluding the unverified record).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Reconcile: §5.5 should report or point to the archived joint count.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§5.5 / Appendix C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satisfaction finding (Fisher p = 0.013) rests on a paper questionnaire whose administered form and anchors await archival confirmation.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File the completed-form scans in Appendix C, or downgrade the claim's wording accordingly.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§5.5 / §5.6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One record (S2-P015) failed verification but is retained; the F4 membership was corrected during drafting (V54 superseded by V55).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Re-verify the six F4 identifiers (S2-P006, P007, P011, P015, P026, P028) against the Stage-2 ID register; confirm S2-P015 is flagged in every table and figure that includes it.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§5.3.5 / item G.0A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Which stages of the six-stage difficulty-adjustment loop ran live in the deployed build remains unresolved pending the build-lineage matrix.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Complete G.0A and align §5.3.5's wording to what the matrix records.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6. Chapter 6 — Stage 3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§6.4 / item G.3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 raw import sheet whose figures disagree with the published summary is retained but quarantined, with no explanation of the discrepancy or of how the summary was verified.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Add a reconciliation note stating why the sheet disagrees and the basis on which the summary is correct; examiners will ask.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§6.4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Definitional limits on the headline figures: no invitation denominator; the dropout/return checkpoint is not reconstructable; some initial dropouts had no recorded failure; the twenty distributors' own records are inseparable from the 120; participants played two builds with no per-participant record.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Add one consolidated paragraph stating how each limit bears on the 93.3% / 85.4% / 62.5% figures and what each figure can and cannot support.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§6.12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C-block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An "[AUTHOR INPUT NEEDED]" stub remains for the second Lau consultation (member-check, attribution election, sensitivity election, session date).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Complete the record or remove the passage; named attribution requires the election to be on file.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7. Chapter 7 — Discussion and Framework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§7.9 / Figure 8.1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Figure 8.1 is cited and captioned at the end of Chapter 7 although numbered as a Chapter-8 figure.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Renumber as Figure 7.3 (and renumber Figure 7.2 accordingly if order requires) or move the exhibit into Chapter 8.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§7.4 / Chapter 9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framework's status as untested is stated repeatedly by disclaimer; the positive statement of demonstrated engineering knowledge is diffuse.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Add one explicit paragraph (suggested location: §9.7) stating what the programme has demonstrated, in terms another engineering team could act on.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8. Chapter 8 — Contributions, Limitations, Ethics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§8.9 / Appendix G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Promised deposits do not yet exist: G.0 manifest and G.0A lineage rows are stubs; G.1, G.7, the Appendix C scans and the G.10 consent are pending.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Complete the deposits so that every §8.9 promise resolves to an accessible item; where an item cannot be deposited, qualify the dependent claim.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§8.7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ethical analysis is strong but currently coexists with open governance items (§3.4, I.7), which undercuts it.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After the Category A determinations are obtained, align §8.7's wording with the determinations reached.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9. Chapter 9 — Conclusion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§9.7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contribution statement argues by disclaimer rather than by positive claim; the title-level framing (continuous improvement, innovation enhancement) is demonstrated only at researcher and artefact level.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Add the positive statement (see Chapter 7 row above) and consider the subtitle proposed in §11 of this schedule.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— (new)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No consolidated list of publications and outputs arising from the programme exists (Paper 1, ICMSS 2026, is noted at Chapter 4; the working records reference a Paper 3).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Add a publications list with a statement of the candidate's own contribution to each output.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10. Appendices A–I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Appendix G.0, G.0A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C-block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Both carry "[AUTHOR INPUT NEEDED]" stubs; the reproducibility apparatus is therefore visibly incomplete.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Complete both tables or remove the stubs and state the deposit status factually.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Appendix H.6, H.7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Stubs remain for member-check outcomes; named experts (Dr Lau, Dr Choy) appear with elections pending. Two interviews preceded signed consent.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Complete the member-checks and elections or pseudonymise; the consent chronology should be put before the committee with the §3.4 determination.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Appendix I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record cites a future cut-off (15 October 2026) and pending post-cut-off updates; Table I.4 is described as completed at a date after submission.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Close the record at a past date and freeze all tables and figures against it.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After Appendix I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C-block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The author completion checklist (V42–V66) is embedded in the document: drafting history, responses to the September 2026 examination reports, pending items, author-versus-supervisor decisions.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Delete the checklist in full; verify no residual yellow highlighting or tracked marks remain anywhere in the file.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Main text passim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References to "the examiner's report of 15 September 2026" and "examination-driven verification" (§3.4, §5.6, I.1, I.7).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Once the underlying items are closed, restore a neutral register so the thesis reads as a thesis rather than a response memorandum.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11. Contribution Framing and Title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620"/>
        <w:gridCol w:w="4600"/>
        <w:gridCol w:w="2450"/>
      </w:tblGrid>
      <w:tr>
        <w:tc>
          <w:tcPr>
            <w:tcW w:type="dxa" w:w="13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Location</w:t>
            </w:r>
          </w:p>
        </w:tc>
        <w:tc>
          <w:tcPr>
            <w:tcW w:type="dxa" w:w="62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Severity</w:t>
            </w:r>
          </w:p>
        </w:tc>
        <w:tc>
          <w:tcPr>
            <w:tcW w:type="dxa" w:w="460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Issue</w:t>
            </w:r>
          </w:p>
        </w:tc>
        <w:tc>
          <w:tcPr>
            <w:tcW w:type="dxa" w:w="2450"/>
            <w:shd w:fill="EEF2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Title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"Gamification as Proactive Approach for Continuous Improvement and Innovation Enhancement" promises outcomes (continuous improvement, innovation enhancement) that the thesis demonstrates only at the level of problem understanding and design iteration — by its own repeated statement.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Consider a subtitle aligning title with achievement, e.g. "…: An Exploratory Action-Research Study of Failure-Associated Abandonment in Gamified Fall-Risk Assessment", or a short prefatory note fixing the sense in which the title terms are used.</w:t>
            </w:r>
          </w:p>
        </w:tc>
      </w:tr>
      <w:tr>
        <w:tc>
          <w:tcPr>
            <w:tcW w:type="dxa" w:w="13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FIAS construct</w:t>
            </w:r>
          </w:p>
        </w:tc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FIAS is retained as a provisional descriptor while its composite carries no evidential weight (outcome-defining variables embedded in the score by construction).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Be prepared at the defence to justify retention as a hypothesis-generating label; consider moving the composite figure (5.6) to an appendix to signal its descriptive-only status.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2A36"/>
          <w:sz w:val="28"/>
          <w:szCs w:val="28"/>
        </w:rPr>
        <w:t xml:space="preserve">12. Final Production Pass</w:t>
      </w:r>
    </w:p>
    <w:p>
      <w:pPr>
        <w:spacing w:after="140" w:line="288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After all A and B items are closed, run one mechanical pass in this order: (1) delete the completion checklist and all stubs; (2) repair cross-references and section symbols; (3) clean image alt text; (4) renumber Figure 8.1; (5) freeze the Stage-3B record at a past cut-off; (6) sign the Certificate of Originality; (7) trim the abstract to about 470 words; (8) regenerate the ToC, List of Figures and List of Tables as Word fields; (9) proofread the whole document once, end to end, against this schedule; (10) export and inspect the final PDF. The thesis should not be submitted until every row of this schedule is ticked.</w:t>
      </w:r>
    </w:p>
    <w:p>
      <w:pPr>
        <w:spacing w:after="140" w:line="288"/>
      </w:pPr>
      <w:r>
        <w:rPr>
          <w:rFonts w:ascii="Times New Roman" w:cs="Times New Roman" w:eastAsia="SimSun" w:hAnsi="Times New Roman"/>
          <w:sz w:val="8"/>
          <w:szCs w:val="8"/>
        </w:rPr>
        <w:t xml:space="preserve"/>
      </w:r>
    </w:p>
    <w:p>
      <w:pPr>
        <w:spacing w:after="140" w:line="288"/>
        <w:jc w:val="center"/>
      </w:pPr>
      <w:r>
        <w:rPr>
          <w:rFonts w:ascii="Times New Roman" w:cs="Times New Roman" w:eastAsia="SimSun" w:hAnsi="Times New Roman"/>
          <w:color w:val="7A8896"/>
          <w:sz w:val="20"/>
          <w:szCs w:val="20"/>
        </w:rPr>
        <w:t xml:space="preserve">— End of schedule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288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Times New Roman" w:cs="Times New Roman" w:eastAsia="SimSun" w:hAnsi="Times New Roman"/>
        <w:b/>
        <w:bCs/>
        <w:color w:val="34506B"/>
        <w:sz w:val="18"/>
        <w:szCs w:val="18"/>
      </w:rPr>
      <w:t xml:space="preserve">Section-Keyed Comment Schedule — EngD Thesis (S. K. T. Tam, October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2026-10-02T12:57:04.601Z</dcterms:created>
  <dcterms:modified xsi:type="dcterms:W3CDTF">2026-10-02T12:57:04.602Z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