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Times New Roman" w:cs="Times New Roman" w:eastAsia="SimSun" w:hAnsi="Times New Roman"/>
          <w:b/>
          <w:bCs/>
          <w:color w:val="34506B"/>
          <w:sz w:val="24"/>
          <w:szCs w:val="24"/>
        </w:rPr>
        <w:t xml:space="preserve">THE HONG KONG POLYTECHNIC UNIVERSITY</w:t>
      </w:r>
    </w:p>
    <w:p>
      <w:pPr>
        <w:spacing w:after="300"/>
        <w:jc w:val="center"/>
      </w:pPr>
      <w:r>
        <w:rPr>
          <w:rFonts w:ascii="Times New Roman" w:cs="Times New Roman" w:eastAsia="SimSun" w:hAnsi="Times New Roman"/>
          <w:color w:val="34506B"/>
          <w:sz w:val="22"/>
          <w:szCs w:val="22"/>
        </w:rPr>
        <w:t xml:space="preserve">Department of Industrial and Systems Engineering</w:t>
      </w:r>
    </w:p>
    <w:p>
      <w:pPr>
        <w:pStyle w:val="Title"/>
        <w:spacing w:after="120"/>
        <w:jc w:val="center"/>
      </w:pPr>
      <w:r>
        <w:rPr>
          <w:rFonts w:ascii="Times New Roman" w:cs="Times New Roman" w:eastAsia="SimSun" w:hAnsi="Times New Roman"/>
          <w:b/>
          <w:bCs/>
          <w:color w:val="1F2A36"/>
          <w:sz w:val="40"/>
          <w:szCs w:val="40"/>
        </w:rPr>
        <w:t xml:space="preserve">Examiner's Review Report</w:t>
      </w:r>
    </w:p>
    <w:p>
      <w:pPr>
        <w:spacing w:after="300"/>
        <w:jc w:val="center"/>
      </w:pPr>
      <w:r>
        <w:rPr>
          <w:rFonts w:ascii="Times New Roman" w:cs="Times New Roman" w:eastAsia="SimSun" w:hAnsi="Times New Roman"/>
          <w:color w:val="1F2A36"/>
          <w:sz w:val="24"/>
          <w:szCs w:val="24"/>
        </w:rPr>
        <w:t xml:space="preserve">Doctor of Engineering (EngD) Thesis — Final Submission Review</w:t>
      </w:r>
    </w:p>
    <w:p>
      <w:pPr>
        <w:spacing w:after="60"/>
        <w:jc w:val="center"/>
      </w:pPr>
      <w:r>
        <w:rPr>
          <w:rFonts w:ascii="Times New Roman" w:cs="Times New Roman" w:eastAsia="SimSun" w:hAnsi="Times New Roman"/>
          <w:i/>
          <w:iCs/>
          <w:sz w:val="22"/>
          <w:szCs w:val="22"/>
        </w:rPr>
        <w:t xml:space="preserve">Thesis: Gamification as Proactive Approach for Continuous Improvement and Innovation Enhancement</w:t>
      </w:r>
    </w:p>
    <w:p>
      <w:pPr>
        <w:spacing w:after="60"/>
        <w:jc w:val="center"/>
      </w:pPr>
      <w:r>
        <w:rPr>
          <w:rFonts w:ascii="Times New Roman" w:cs="Times New Roman" w:eastAsia="SimSun" w:hAnsi="Times New Roman"/>
          <w:sz w:val="22"/>
          <w:szCs w:val="22"/>
        </w:rPr>
        <w:t xml:space="preserve">Candidate: Sidney K. T. Tam</w:t>
      </w:r>
    </w:p>
    <w:p>
      <w:pPr>
        <w:spacing w:after="60"/>
        <w:jc w:val="center"/>
      </w:pPr>
      <w:r>
        <w:rPr>
          <w:rFonts w:ascii="Times New Roman" w:cs="Times New Roman" w:eastAsia="SimSun" w:hAnsi="Times New Roman"/>
          <w:sz w:val="22"/>
          <w:szCs w:val="22"/>
        </w:rPr>
        <w:t xml:space="preserve">Document reviewed: Full_V66_EngD_Thesis_Submission_Draft.docx (October 2026; approx. 67,600 words, nine chapters, Appendices A–I)</w:t>
      </w:r>
    </w:p>
    <w:p>
      <w:pPr>
        <w:spacing w:after="420"/>
        <w:jc w:val="center"/>
      </w:pPr>
      <w:r>
        <w:rPr>
          <w:rFonts w:ascii="Times New Roman" w:cs="Times New Roman" w:eastAsia="SimSun" w:hAnsi="Times New Roman"/>
          <w:sz w:val="22"/>
          <w:szCs w:val="22"/>
        </w:rPr>
        <w:t xml:space="preserve">Report date: 2 October 2026</w:t>
      </w:r>
    </w:p>
    <w:p>
      <w:pPr>
        <w:pStyle w:val="Heading1"/>
        <w:spacing w:after="120" w:before="120"/>
      </w:pPr>
      <w:r>
        <w:rPr>
          <w:rFonts w:ascii="Times New Roman" w:cs="Times New Roman" w:eastAsia="SimSun" w:hAnsi="Times New Roman"/>
          <w:b/>
          <w:bCs/>
          <w:color w:val="1F2A36"/>
          <w:sz w:val="26"/>
          <w:szCs w:val="26"/>
        </w:rPr>
        <w:t xml:space="preserve">Contents</w:t>
      </w:r>
    </w:p>
    <w:p>
      <w:pPr>
        <w:spacing w:after="140" w:line="288"/>
      </w:pPr>
      <w:r>
        <w:rPr>
          <w:rFonts w:ascii="Times New Roman" w:cs="Times New Roman" w:eastAsia="SimSun" w:hAnsi="Times New Roman"/>
          <w:i/>
          <w:iCs/>
          <w:color w:val="7A8896"/>
          <w:sz w:val="20"/>
          <w:szCs w:val="20"/>
        </w:rPr>
        <w:t xml:space="preserve">Right-click the table and choose Update Field to refresh page numbers.</w:t>
      </w:r>
    </w:p>
    <w:sdt xmlns:w="http://schemas.openxmlformats.org/wordprocessingml/2006/main">
      <w:sdtPr>
        <w:alias w:val="Contents"/>
      </w:sdtPr>
      <w:sdtContent>
        <w:p>
          <w:r>
            <w:fldChar w:fldCharType="begin" w:dirty="true"/>
            <w:instrText xml:space="preserve"> TOC \o "1-3" \h \z \u </w:instrText>
            <w:fldChar w:fldCharType="separate"/>
          </w:r>
        </w:p>
        <w:p>
          <w:pPr>
            <w:pStyle w:val="TOC1"/>
            <w:tabs>
              <w:tab w:val="right" w:leader="dot" w:pos="9000"/>
            </w:tabs>
            <w:ind w:left="0"/>
          </w:pPr>
          <w:r>
            <w:t>1. Scope of This Report</w:t>
          </w:r>
          <w:r>
            <w:tab/>
          </w:r>
          <w:r>
            <w:t>2</w:t>
          </w:r>
        </w:p>
        <w:p>
          <w:pPr>
            <w:pStyle w:val="TOC1"/>
            <w:tabs>
              <w:tab w:val="right" w:leader="dot" w:pos="9000"/>
            </w:tabs>
            <w:ind w:left="0"/>
          </w:pPr>
          <w:r>
            <w:t>2. Summary of the Thesis</w:t>
          </w:r>
          <w:r>
            <w:tab/>
          </w:r>
          <w:r>
            <w:t>2</w:t>
          </w:r>
        </w:p>
        <w:p>
          <w:pPr>
            <w:pStyle w:val="TOC1"/>
            <w:tabs>
              <w:tab w:val="right" w:leader="dot" w:pos="9000"/>
            </w:tabs>
            <w:ind w:left="0"/>
          </w:pPr>
          <w:r>
            <w:t>3. Overall Assessment</w:t>
          </w:r>
          <w:r>
            <w:tab/>
          </w:r>
          <w:r>
            <w:t>3</w:t>
          </w:r>
        </w:p>
        <w:p>
          <w:pPr>
            <w:pStyle w:val="TOC1"/>
            <w:tabs>
              <w:tab w:val="right" w:leader="dot" w:pos="9000"/>
            </w:tabs>
            <w:ind w:left="0"/>
          </w:pPr>
          <w:r>
            <w:t>4. Strengths of the Thesis</w:t>
          </w:r>
          <w:r>
            <w:tab/>
          </w:r>
          <w:r>
            <w:t>3</w:t>
          </w:r>
        </w:p>
        <w:p>
          <w:pPr>
            <w:pStyle w:val="TOC1"/>
            <w:tabs>
              <w:tab w:val="right" w:leader="dot" w:pos="9000"/>
            </w:tabs>
            <w:ind w:left="0"/>
          </w:pPr>
          <w:r>
            <w:t>5. Major Academic Concerns</w:t>
          </w:r>
          <w:r>
            <w:tab/>
          </w:r>
          <w:r>
            <w:t>4</w:t>
          </w:r>
        </w:p>
        <w:p>
          <w:pPr>
            <w:pStyle w:val="TOC2"/>
            <w:tabs>
              <w:tab w:val="right" w:leader="dot" w:pos="9000"/>
            </w:tabs>
            <w:ind w:left="360"/>
          </w:pPr>
          <w:r>
            <w:t>5.1 Ethics Compliance and Human-Subjects Governance</w:t>
          </w:r>
          <w:r>
            <w:tab/>
          </w:r>
          <w:r>
            <w:t>4</w:t>
          </w:r>
        </w:p>
        <w:p>
          <w:pPr>
            <w:pStyle w:val="TOC2"/>
            <w:tabs>
              <w:tab w:val="right" w:leader="dot" w:pos="9000"/>
            </w:tabs>
            <w:ind w:left="360"/>
          </w:pPr>
          <w:r>
            <w:t>5.2 Data Provenance and Auditability</w:t>
          </w:r>
          <w:r>
            <w:tab/>
          </w:r>
          <w:r>
            <w:t>5</w:t>
          </w:r>
        </w:p>
        <w:p>
          <w:pPr>
            <w:pStyle w:val="TOC2"/>
            <w:tabs>
              <w:tab w:val="right" w:leader="dot" w:pos="9000"/>
            </w:tabs>
            <w:ind w:left="360"/>
          </w:pPr>
          <w:r>
            <w:t>5.3 Evidential Sufficiency and the Framing of the Contribution</w:t>
          </w:r>
          <w:r>
            <w:tab/>
          </w:r>
          <w:r>
            <w:t>6</w:t>
          </w:r>
        </w:p>
        <w:p>
          <w:pPr>
            <w:pStyle w:val="TOC2"/>
            <w:tabs>
              <w:tab w:val="right" w:leader="dot" w:pos="9000"/>
            </w:tabs>
            <w:ind w:left="360"/>
          </w:pPr>
          <w:r>
            <w:t>5.4 Internal Consistency</w:t>
          </w:r>
          <w:r>
            <w:tab/>
          </w:r>
          <w:r>
            <w:t>7</w:t>
          </w:r>
        </w:p>
        <w:p>
          <w:pPr>
            <w:pStyle w:val="TOC1"/>
            <w:tabs>
              <w:tab w:val="right" w:leader="dot" w:pos="9000"/>
            </w:tabs>
            <w:ind w:left="0"/>
          </w:pPr>
          <w:r>
            <w:t>6. Editorial and Production Matters (Blocking)</w:t>
          </w:r>
          <w:r>
            <w:tab/>
          </w:r>
          <w:r>
            <w:t>7</w:t>
          </w:r>
        </w:p>
        <w:p>
          <w:pPr>
            <w:pStyle w:val="TOC1"/>
            <w:tabs>
              <w:tab w:val="right" w:leader="dot" w:pos="9000"/>
            </w:tabs>
            <w:ind w:left="0"/>
          </w:pPr>
          <w:r>
            <w:t>7. Questions for the Candidate at the Oral Defence</w:t>
          </w:r>
          <w:r>
            <w:tab/>
          </w:r>
          <w:r>
            <w:t>8</w:t>
          </w:r>
        </w:p>
        <w:p>
          <w:pPr>
            <w:pStyle w:val="TOC1"/>
            <w:tabs>
              <w:tab w:val="right" w:leader="dot" w:pos="9000"/>
            </w:tabs>
            <w:ind w:left="0"/>
          </w:pPr>
          <w:r>
            <w:t>8. Required Amendments and Recommendation</w:t>
          </w:r>
          <w:r>
            <w:tab/>
          </w:r>
          <w:r>
            <w:t>9</w:t>
          </w:r>
        </w:p>
        <w:p>
          <w:r>
            <w:fldChar w:fldCharType="end"/>
          </w:r>
        </w:p>
      </w:sdtContent>
    </w:sdt>
    <w:p>
      <w:pPr>
        <w:pStyle w:val="Heading1"/>
        <w:spacing w:after="140" w:before="320"/>
      </w:pPr>
      <w:r>
        <w:rPr>
          <w:rFonts w:ascii="Times New Roman" w:cs="Times New Roman" w:eastAsia="SimSun" w:hAnsi="Times New Roman"/>
          <w:b/>
          <w:bCs/>
          <w:color w:val="1F2A36"/>
          <w:sz w:val="28"/>
          <w:szCs w:val="28"/>
        </w:rPr>
        <w:t xml:space="preserve">1. Scope of This Report</w:t>
      </w:r>
    </w:p>
    <w:p>
      <w:pPr>
        <w:spacing w:after="140" w:line="288"/>
        <w:jc w:val="both"/>
      </w:pPr>
      <w:r>
        <w:rPr>
          <w:rFonts w:ascii="Times New Roman" w:cs="Times New Roman" w:eastAsia="SimSun" w:hAnsi="Times New Roman"/>
          <w:sz w:val="22"/>
          <w:szCs w:val="22"/>
        </w:rPr>
        <w:t xml:space="preserve">This report records a full examination-style review of the candidate's final EngD thesis submission draft. Every chapter, table, figure caption, reference entry and appendix was read in full, including the embedded working records (the build-lineage stubs and the author completion checklist, versions V42 to V66). The review addresses academic merit, research-integrity and ethics posture, evidential sufficiency for the degree, and readiness of the physical document for submission. A companion document, the Section-Keyed Comment Schedule, lists every required action against the thesis's own section numbering.</w:t>
      </w:r>
    </w:p>
    <w:p>
      <w:pPr>
        <w:pStyle w:val="Heading1"/>
        <w:spacing w:after="140" w:before="320"/>
      </w:pPr>
      <w:r>
        <w:rPr>
          <w:rFonts w:ascii="Times New Roman" w:cs="Times New Roman" w:eastAsia="SimSun" w:hAnsi="Times New Roman"/>
          <w:b/>
          <w:bCs/>
          <w:color w:val="1F2A36"/>
          <w:sz w:val="28"/>
          <w:szCs w:val="28"/>
        </w:rPr>
        <w:t xml:space="preserve">2. Summary of the Thesis</w:t>
      </w:r>
    </w:p>
    <w:p>
      <w:pPr>
        <w:spacing w:after="140" w:line="288"/>
        <w:jc w:val="both"/>
      </w:pPr>
      <w:r>
        <w:rPr>
          <w:rFonts w:ascii="Times New Roman" w:cs="Times New Roman" w:eastAsia="SimSun" w:hAnsi="Times New Roman"/>
          <w:sz w:val="22"/>
          <w:szCs w:val="22"/>
        </w:rPr>
        <w:t xml:space="preserve">The thesis examines why a validated fall-risk-assessment (FRA) station in a Guangzhou residential care facility remained effectively unused for ten years, and what gamified redesign can and cannot do about it. A three-stage exploratory action-research programme is reported: Stage 1, a retrospective six-item survey of 200 of the facility's 280 residents (July–August 2024); Stage 2, an eight-week prospective deployment of a purpose-built, AI-assisted skiing game on the InBody pressure panel with 30 residents, in which weight-shift control doubles as the FRA measurement pathway (June–August 2025); and Stage 3 (3A), a between-cohort decoupling study in which 120 Hong Kong adults aged 25–80 played a browser port of the game stripped of participant-facing clinical cues (April–July 2026). Four expert consultations (March–September 2026) and a pre-specified but evidentially withdrawn component study (Stage 3B, August–October 2026) complete the record.</w:t>
      </w:r>
    </w:p>
    <w:p>
      <w:pPr>
        <w:spacing w:after="140" w:line="288"/>
        <w:jc w:val="both"/>
      </w:pPr>
      <w:r>
        <w:rPr>
          <w:rFonts w:ascii="Times New Roman" w:cs="Times New Roman" w:eastAsia="SimSun" w:hAnsi="Times New Roman"/>
          <w:sz w:val="22"/>
          <w:szCs w:val="22"/>
        </w:rPr>
        <w:t xml:space="preserve">The headline empirical findings are: 70.0% of Stage-2 participants (21 of 30) disengaged at or before three game cycles, with no observed re-engagement (0 of 21) in the eight-week window; a recorded FRA-index gain coexisting with non-return in five of the eight single-session participants; and, in the separate Stage-3 cohort, return after initial dropout in 15 of 23 cases overall and 10 of 16 in the 65–80 band. The thesis proposes Failure-Induced Abandonment Syndrome (FIAS) as a provisional, non-diagnostic construct; a frame-sensitive account in which clinical attachment changes the meaning of failure; and an adaptive-learning framework (identity disentanglement, trajectory installation, adaptive calibration) with a credible-progress specification for measurement under changing task conditions. The thesis states plainly that the framework is untested and that Stage 3B is a descriptive record only.</w:t>
      </w:r>
    </w:p>
    <w:p>
      <w:pPr>
        <w:pStyle w:val="Heading1"/>
        <w:spacing w:after="140" w:before="320"/>
      </w:pPr>
      <w:r>
        <w:rPr>
          <w:rFonts w:ascii="Times New Roman" w:cs="Times New Roman" w:eastAsia="SimSun" w:hAnsi="Times New Roman"/>
          <w:b/>
          <w:bCs/>
          <w:color w:val="1F2A36"/>
          <w:sz w:val="28"/>
          <w:szCs w:val="28"/>
        </w:rPr>
        <w:t xml:space="preserve">3. Overall Assessment</w:t>
      </w:r>
    </w:p>
    <w:p>
      <w:pPr>
        <w:spacing w:after="140" w:line="288"/>
        <w:jc w:val="both"/>
      </w:pPr>
      <w:r>
        <w:rPr>
          <w:rFonts w:ascii="Times New Roman" w:cs="Times New Roman" w:eastAsia="SimSun" w:hAnsi="Times New Roman"/>
          <w:sz w:val="22"/>
          <w:szCs w:val="22"/>
        </w:rPr>
        <w:t xml:space="preserve">This is an honest, unusually self-aware thesis whose empirical spine is thin relative to its theoretical apparatus. Its enduring value lies in three places: a well-documented field failure of an acceptance-informed gamified deployment; a genuinely contrasting engagement pattern under participant-facing decoupling; and an engineering specification — above all the credible-progress discipline of Section 7.5.2 — that other teams can inspect, reuse and test. Its weaknesses are equally clear: the named construct carries, by the author's own statement, no evidential weight; the central causal contrast is confounded at every level the design could confound it; the study built to test the title-level framework was withdrawn from the evidence base; the ethics record contains items that remain open; and the document itself is not finished, as detailed in Sections 5 and 6.</w:t>
      </w:r>
    </w:p>
    <w:p>
      <w:pPr>
        <w:spacing w:after="140" w:line="288"/>
        <w:jc w:val="both"/>
      </w:pPr>
      <w:r>
        <w:rPr>
          <w:rFonts w:ascii="Times New Roman" w:cs="Times New Roman" w:eastAsia="SimSun" w:hAnsi="Times New Roman"/>
          <w:sz w:val="22"/>
          <w:szCs w:val="22"/>
        </w:rPr>
        <w:t xml:space="preserve">The reviewer's bottom line: defensible as an EngD contribution of problem characterisation plus testable design specification, but the V66 document is not yet in a submittable state. None of the required remedies involves new fieldwork. Section 8 states the required amendments and the formal recommendation.</w:t>
      </w:r>
    </w:p>
    <w:p>
      <w:pPr>
        <w:pStyle w:val="Heading1"/>
        <w:spacing w:after="140" w:before="320"/>
      </w:pPr>
      <w:r>
        <w:rPr>
          <w:rFonts w:ascii="Times New Roman" w:cs="Times New Roman" w:eastAsia="SimSun" w:hAnsi="Times New Roman"/>
          <w:b/>
          <w:bCs/>
          <w:color w:val="1F2A36"/>
          <w:sz w:val="28"/>
          <w:szCs w:val="28"/>
        </w:rPr>
        <w:t xml:space="preserve">4. Strengths of the Thesis</w:t>
      </w:r>
    </w:p>
    <w:p>
      <w:pPr>
        <w:pStyle w:val="ListParagraph"/>
        <w:numPr>
          <w:ilvl w:val="0"/>
          <w:numId w:val="2"/>
        </w:numPr>
        <w:spacing w:after="140" w:line="288"/>
        <w:jc w:val="both"/>
      </w:pPr>
      <w:r>
        <w:rPr>
          <w:rFonts w:ascii="Times New Roman" w:cs="Times New Roman" w:eastAsia="SimSun" w:hAnsi="Times New Roman"/>
          <w:b/>
          <w:bCs/>
          <w:sz w:val="22"/>
          <w:szCs w:val="22"/>
        </w:rPr>
        <w:t xml:space="preserve">Research integrity of the highest order. </w:t>
      </w:r>
      <w:r>
        <w:rPr>
          <w:rFonts w:ascii="Times New Roman" w:cs="Times New Roman" w:eastAsia="SimSun" w:hAnsi="Times New Roman"/>
          <w:sz w:val="22"/>
          <w:szCs w:val="22"/>
        </w:rPr>
        <w:t xml:space="preserve">The hypothesis-provenance architecture (Table 3.1), the explicit withdrawal of every statistic that failed to reproduce from the archive (the survival-model framing, the pooled and zero-imputation effect sizes, the motivational-orientation odds ratio of 31.5, the Stage-1 age range), and the disciplined separation of observations, candidate explanations and proposed designs set a standard the examiner rarely encounters. Every surviving figure in Table 6.5 traces to the archived Stage-2 dataset.</w:t>
      </w:r>
    </w:p>
    <w:p>
      <w:pPr>
        <w:pStyle w:val="ListParagraph"/>
        <w:numPr>
          <w:ilvl w:val="0"/>
          <w:numId w:val="2"/>
        </w:numPr>
        <w:spacing w:after="140" w:line="288"/>
        <w:jc w:val="both"/>
      </w:pPr>
      <w:r>
        <w:rPr>
          <w:rFonts w:ascii="Times New Roman" w:cs="Times New Roman" w:eastAsia="SimSun" w:hAnsi="Times New Roman"/>
          <w:b/>
          <w:bCs/>
          <w:sz w:val="22"/>
          <w:szCs w:val="22"/>
        </w:rPr>
        <w:t xml:space="preserve">A real artefact, really deployed. </w:t>
      </w:r>
      <w:r>
        <w:rPr>
          <w:rFonts w:ascii="Times New Roman" w:cs="Times New Roman" w:eastAsia="SimSun" w:hAnsi="Times New Roman"/>
          <w:sz w:val="22"/>
          <w:szCs w:val="22"/>
        </w:rPr>
        <w:t xml:space="preserve">The dual-purpose mechanic — one centre-of-pressure stream feeding both 60 Hz gameplay and a silent clinical pipeline — is a genuine engineering contribution, with a documented development lineage (off-the-shelf Tux Racer scaffold to the deployed 2D Pygame build) and honest accounting of which architectural layers ran live and which were only specified.</w:t>
      </w:r>
    </w:p>
    <w:p>
      <w:pPr>
        <w:pStyle w:val="ListParagraph"/>
        <w:numPr>
          <w:ilvl w:val="0"/>
          <w:numId w:val="2"/>
        </w:numPr>
        <w:spacing w:after="140" w:line="288"/>
        <w:jc w:val="both"/>
      </w:pPr>
      <w:r>
        <w:rPr>
          <w:rFonts w:ascii="Times New Roman" w:cs="Times New Roman" w:eastAsia="SimSun" w:hAnsi="Times New Roman"/>
          <w:b/>
          <w:bCs/>
          <w:sz w:val="22"/>
          <w:szCs w:val="22"/>
        </w:rPr>
        <w:t xml:space="preserve">The credible-progress specification (Section 7.5.2; Table 7.3). </w:t>
      </w:r>
      <w:r>
        <w:rPr>
          <w:rFonts w:ascii="Times New Roman" w:cs="Times New Roman" w:eastAsia="SimSun" w:hAnsi="Times New Roman"/>
          <w:sz w:val="22"/>
          <w:szCs w:val="22"/>
        </w:rPr>
        <w:t xml:space="preserve">Separating participation, condition-specific performance, learning and clinical change, and requiring declared phase boundaries when redesign breaks comparability, is the most original and reusable element of the thesis. It deserves to be the centrepiece of the contribution statement.</w:t>
      </w:r>
    </w:p>
    <w:p>
      <w:pPr>
        <w:pStyle w:val="ListParagraph"/>
        <w:numPr>
          <w:ilvl w:val="0"/>
          <w:numId w:val="2"/>
        </w:numPr>
        <w:spacing w:after="140" w:line="288"/>
        <w:jc w:val="both"/>
      </w:pPr>
      <w:r>
        <w:rPr>
          <w:rFonts w:ascii="Times New Roman" w:cs="Times New Roman" w:eastAsia="SimSun" w:hAnsi="Times New Roman"/>
          <w:b/>
          <w:bCs/>
          <w:sz w:val="22"/>
          <w:szCs w:val="22"/>
        </w:rPr>
        <w:t xml:space="preserve">Serious engagement with rival explanations. </w:t>
      </w:r>
      <w:r>
        <w:rPr>
          <w:rFonts w:ascii="Times New Roman" w:cs="Times New Roman" w:eastAsia="SimSun" w:hAnsi="Times New Roman"/>
          <w:sz w:val="22"/>
          <w:szCs w:val="22"/>
        </w:rPr>
        <w:t xml:space="preserve">Section 8.5 carries ten alternatives, including the ones most damaging to the thesis's own account (rational consequence-avoidance, just-better-design, input modality), and the Stage-2 self-selection problem (30 of 200 invitees) is framed as recruitment context rather than explained away.</w:t>
      </w:r>
    </w:p>
    <w:p>
      <w:pPr>
        <w:pStyle w:val="ListParagraph"/>
        <w:numPr>
          <w:ilvl w:val="0"/>
          <w:numId w:val="2"/>
        </w:numPr>
        <w:spacing w:after="140" w:line="288"/>
        <w:jc w:val="both"/>
      </w:pPr>
      <w:r>
        <w:rPr>
          <w:rFonts w:ascii="Times New Roman" w:cs="Times New Roman" w:eastAsia="SimSun" w:hAnsi="Times New Roman"/>
          <w:b/>
          <w:bCs/>
          <w:sz w:val="22"/>
          <w:szCs w:val="22"/>
        </w:rPr>
        <w:t xml:space="preserve">A sound reference base. </w:t>
      </w:r>
      <w:r>
        <w:rPr>
          <w:rFonts w:ascii="Times New Roman" w:cs="Times New Roman" w:eastAsia="SimSun" w:hAnsi="Times New Roman"/>
          <w:sz w:val="22"/>
          <w:szCs w:val="22"/>
        </w:rPr>
        <w:t xml:space="preserve">Citations are real and current; the closest-precedent citation (An, Cheung and Willoughby, 2024) was verified against the published record. Vendor sources are used with appropriately narrowed evidentiary claims.</w:t>
      </w:r>
    </w:p>
    <w:p>
      <w:pPr>
        <w:pStyle w:val="Heading1"/>
        <w:spacing w:after="140" w:before="320"/>
      </w:pPr>
      <w:r>
        <w:rPr>
          <w:rFonts w:ascii="Times New Roman" w:cs="Times New Roman" w:eastAsia="SimSun" w:hAnsi="Times New Roman"/>
          <w:b/>
          <w:bCs/>
          <w:color w:val="1F2A36"/>
          <w:sz w:val="28"/>
          <w:szCs w:val="28"/>
        </w:rPr>
        <w:t xml:space="preserve">5. Major Academic Concerns</w:t>
      </w:r>
    </w:p>
    <w:p>
      <w:pPr>
        <w:pStyle w:val="Heading2"/>
        <w:spacing w:after="100" w:before="240"/>
      </w:pPr>
      <w:r>
        <w:rPr>
          <w:rFonts w:ascii="Times New Roman" w:cs="Times New Roman" w:eastAsia="SimSun" w:hAnsi="Times New Roman"/>
          <w:b/>
          <w:bCs/>
          <w:color w:val="34506B"/>
          <w:sz w:val="24"/>
          <w:szCs w:val="24"/>
        </w:rPr>
        <w:t xml:space="preserve">5.1 Ethics Compliance and Human-Subjects Governance</w:t>
      </w:r>
    </w:p>
    <w:p>
      <w:pPr>
        <w:spacing w:after="140" w:line="288"/>
        <w:jc w:val="both"/>
      </w:pPr>
      <w:r>
        <w:rPr>
          <w:rFonts w:ascii="Times New Roman" w:cs="Times New Roman" w:eastAsia="SimSun" w:hAnsi="Times New Roman"/>
          <w:sz w:val="22"/>
          <w:szCs w:val="22"/>
        </w:rPr>
        <w:t xml:space="preserve">This is the most serious category of concern, and it is the one category the candidate cannot resolve by editing alone.</w:t>
      </w:r>
    </w:p>
    <w:p>
      <w:pPr>
        <w:pStyle w:val="ListParagraph"/>
        <w:numPr>
          <w:ilvl w:val="0"/>
          <w:numId w:val="2"/>
        </w:numPr>
        <w:spacing w:after="140" w:line="288"/>
        <w:jc w:val="both"/>
      </w:pPr>
      <w:r>
        <w:rPr>
          <w:rFonts w:ascii="Times New Roman" w:cs="Times New Roman" w:eastAsia="SimSun" w:hAnsi="Times New Roman"/>
          <w:b/>
          <w:bCs/>
          <w:sz w:val="22"/>
          <w:szCs w:val="22"/>
        </w:rPr>
        <w:t xml:space="preserve">Retrospective approval. </w:t>
      </w:r>
      <w:r>
        <w:rPr>
          <w:rFonts w:ascii="Times New Roman" w:cs="Times New Roman" w:eastAsia="SimSun" w:hAnsi="Times New Roman"/>
          <w:sz w:val="22"/>
          <w:szCs w:val="22"/>
        </w:rPr>
        <w:t xml:space="preserve">The application (HSEARS20260805008) was submitted on 6 August 2026 and approved the same day, after Stage 1 (July–August 2024), Stage 2 (June–August 2025), Stage 3 (April–July 2026) and the first expert consultations had all been conducted. Human-subjects work ran for roughly two years before any application existed. The thesis discloses this candidly, but candour does not cure it: the Departmental Research Committee or the Institutional Review Board must formally confirm that the retrospective approval validly covers the procedures as conducted, and that confirmation must be in the record before submission, not flagged as pending.</w:t>
      </w:r>
    </w:p>
    <w:p>
      <w:pPr>
        <w:pStyle w:val="ListParagraph"/>
        <w:numPr>
          <w:ilvl w:val="0"/>
          <w:numId w:val="2"/>
        </w:numPr>
        <w:spacing w:after="140" w:line="288"/>
        <w:jc w:val="both"/>
      </w:pPr>
      <w:r>
        <w:rPr>
          <w:rFonts w:ascii="Times New Roman" w:cs="Times New Roman" w:eastAsia="SimSun" w:hAnsi="Times New Roman"/>
          <w:b/>
          <w:bCs/>
          <w:sz w:val="22"/>
          <w:szCs w:val="22"/>
        </w:rPr>
        <w:t xml:space="preserve">Stage-2 consent structure. </w:t>
      </w:r>
      <w:r>
        <w:rPr>
          <w:rFonts w:ascii="Times New Roman" w:cs="Times New Roman" w:eastAsia="SimSun" w:hAnsi="Times New Roman"/>
          <w:sz w:val="22"/>
          <w:szCs w:val="22"/>
        </w:rPr>
        <w:t xml:space="preserve">Participants were not told during the deployment that play formed part of research; written consent was obtained retrospectively, and only from the nine sustained participants; the 21 dropouts never signed and were never interviewed, yet their therapist-mediated, researcher-attributed symptom data appear in the analysis. The stated rationale — that announcing a fall-risk study would re-impose the clinical frame under study — has genuine design logic, and incomplete disclosure can be approvable for minimal-risk research; but Section 3.4 itself records that an explicit itemised institutional determination on these arrangements is not yet part of the record. For a vulnerable residential-care population, that determination must exist and be cited.</w:t>
      </w:r>
    </w:p>
    <w:p>
      <w:pPr>
        <w:pStyle w:val="ListParagraph"/>
        <w:numPr>
          <w:ilvl w:val="0"/>
          <w:numId w:val="2"/>
        </w:numPr>
        <w:spacing w:after="140" w:line="288"/>
        <w:jc w:val="both"/>
      </w:pPr>
      <w:r>
        <w:rPr>
          <w:rFonts w:ascii="Times New Roman" w:cs="Times New Roman" w:eastAsia="SimSun" w:hAnsi="Times New Roman"/>
          <w:b/>
          <w:bCs/>
          <w:sz w:val="22"/>
          <w:szCs w:val="22"/>
        </w:rPr>
        <w:t xml:space="preserve">The Stage-3B scope question is an open item. </w:t>
      </w:r>
      <w:r>
        <w:rPr>
          <w:rFonts w:ascii="Times New Roman" w:cs="Times New Roman" w:eastAsia="SimSun" w:hAnsi="Times New Roman"/>
          <w:sz w:val="22"/>
          <w:szCs w:val="22"/>
        </w:rPr>
        <w:t xml:space="preserve">Sections 3.4 and Appendix I.7 state that whether the Stage-3B collection falls within the approved scope remains unresolved, with no clarification or amendment on file, and the supervisor's protocol sign-off is not recorded as closed. A thesis cannot be accepted carrying an open ethics item; the institution must close it, and the text must report the determination reached rather than the question.</w:t>
      </w:r>
    </w:p>
    <w:p>
      <w:pPr>
        <w:pStyle w:val="ListParagraph"/>
        <w:numPr>
          <w:ilvl w:val="0"/>
          <w:numId w:val="2"/>
        </w:numPr>
        <w:spacing w:after="140" w:line="288"/>
        <w:jc w:val="both"/>
      </w:pPr>
      <w:r>
        <w:rPr>
          <w:rFonts w:ascii="Times New Roman" w:cs="Times New Roman" w:eastAsia="SimSun" w:hAnsi="Times New Roman"/>
          <w:b/>
          <w:bCs/>
          <w:sz w:val="22"/>
          <w:szCs w:val="22"/>
        </w:rPr>
        <w:t xml:space="preserve">Stage-3 consent provenance. </w:t>
      </w:r>
      <w:r>
        <w:rPr>
          <w:rFonts w:ascii="Times New Roman" w:cs="Times New Roman" w:eastAsia="SimSun" w:hAnsi="Times New Roman"/>
          <w:sz w:val="22"/>
          <w:szCs w:val="22"/>
        </w:rPr>
        <w:t xml:space="preserve">The consent channel rests on a participant invitation on file that is a 4 August 2026 reconstruction, with returned materials not retained as individual records. Implied consent is acceptable for a minimal-risk remote study; basing its documentation on a reconstruction is not, without explicit institutional acknowledgement.</w:t>
      </w:r>
    </w:p>
    <w:p>
      <w:pPr>
        <w:pStyle w:val="ListParagraph"/>
        <w:numPr>
          <w:ilvl w:val="0"/>
          <w:numId w:val="2"/>
        </w:numPr>
        <w:spacing w:after="140" w:line="288"/>
        <w:jc w:val="both"/>
      </w:pPr>
      <w:r>
        <w:rPr>
          <w:rFonts w:ascii="Times New Roman" w:cs="Times New Roman" w:eastAsia="SimSun" w:hAnsi="Times New Roman"/>
          <w:b/>
          <w:bCs/>
          <w:sz w:val="22"/>
          <w:szCs w:val="22"/>
        </w:rPr>
        <w:t xml:space="preserve">Expert consultations. </w:t>
      </w:r>
      <w:r>
        <w:rPr>
          <w:rFonts w:ascii="Times New Roman" w:cs="Times New Roman" w:eastAsia="SimSun" w:hAnsi="Times New Roman"/>
          <w:sz w:val="22"/>
          <w:szCs w:val="22"/>
        </w:rPr>
        <w:t xml:space="preserve">Two interviews preceded signed consent (Expert P: March interview, consent signed 4 August; Dr Lau: June interview, consent 10 August), and the H.6/H.7 member-checks and attribution elections are still pending while the thesis names the individuals. Complete the member-checks and elections, or pseudonymise, before submission.</w:t>
      </w:r>
    </w:p>
    <w:p>
      <w:pPr>
        <w:pStyle w:val="Heading2"/>
        <w:spacing w:after="100" w:before="240"/>
      </w:pPr>
      <w:r>
        <w:rPr>
          <w:rFonts w:ascii="Times New Roman" w:cs="Times New Roman" w:eastAsia="SimSun" w:hAnsi="Times New Roman"/>
          <w:b/>
          <w:bCs/>
          <w:color w:val="34506B"/>
          <w:sz w:val="24"/>
          <w:szCs w:val="24"/>
        </w:rPr>
        <w:t xml:space="preserve">5.2 Data Provenance and Auditability</w:t>
      </w:r>
    </w:p>
    <w:p>
      <w:pPr>
        <w:pStyle w:val="ListParagraph"/>
        <w:numPr>
          <w:ilvl w:val="0"/>
          <w:numId w:val="2"/>
        </w:numPr>
        <w:spacing w:after="140" w:line="288"/>
        <w:jc w:val="both"/>
      </w:pPr>
      <w:r>
        <w:rPr>
          <w:rFonts w:ascii="Times New Roman" w:cs="Times New Roman" w:eastAsia="SimSun" w:hAnsi="Times New Roman"/>
          <w:b/>
          <w:bCs/>
          <w:sz w:val="22"/>
          <w:szCs w:val="22"/>
        </w:rPr>
        <w:t xml:space="preserve">Stage 1's raw file does not exist in the archive. </w:t>
      </w:r>
      <w:r>
        <w:rPr>
          <w:rFonts w:ascii="Times New Roman" w:cs="Times New Roman" w:eastAsia="SimSun" w:hAnsi="Times New Roman"/>
          <w:sz w:val="22"/>
          <w:szCs w:val="22"/>
        </w:rPr>
        <w:t xml:space="preserve">The conditional figures (approximately 74% adverse first experience among prior users; approximately 82% non-return) are rounded approximations whose item-level counts are not reproduced, and the 65–88 age range was withdrawn as an inherited reporting error. The thesis's foundational problem signature therefore rests on an unverifiable record. Item G.1 must be deposited, or the limitation must be carried into every place the survey figures do argumentative work, including the abstract.</w:t>
      </w:r>
    </w:p>
    <w:p>
      <w:pPr>
        <w:pStyle w:val="ListParagraph"/>
        <w:numPr>
          <w:ilvl w:val="0"/>
          <w:numId w:val="2"/>
        </w:numPr>
        <w:spacing w:after="140" w:line="288"/>
        <w:jc w:val="both"/>
      </w:pPr>
      <w:r>
        <w:rPr>
          <w:rFonts w:ascii="Times New Roman" w:cs="Times New Roman" w:eastAsia="SimSun" w:hAnsi="Times New Roman"/>
          <w:b/>
          <w:bCs/>
          <w:sz w:val="22"/>
          <w:szCs w:val="22"/>
        </w:rPr>
        <w:t xml:space="preserve">Stage 3 cannot be reconstructed. </w:t>
      </w:r>
      <w:r>
        <w:rPr>
          <w:rFonts w:ascii="Times New Roman" w:cs="Times New Roman" w:eastAsia="SimSun" w:hAnsi="Times New Roman"/>
          <w:sz w:val="22"/>
          <w:szCs w:val="22"/>
        </w:rPr>
        <w:t xml:space="preserve">Returned materials were not retained; the participant-level logbook sheets are unpopulated; there is no invitation denominator; the checkpoint separating a dropout-then-return from an ordinary interval between sessions is not reconstructable; some participants classified as initial dropouts had no recorded failure at all; the twenty distributors' own plays are inseparable from the 120; and participants played two different builds with no record of which. Most concerning: a raw import sheet whose figures disagree with the published summary is retained but quarantined (item G.3), and the thesis nowhere explains why it disagrees or how the summary was verified as correct. This question will be asked at the defence; the answer should be in the thesis first.</w:t>
      </w:r>
    </w:p>
    <w:p>
      <w:pPr>
        <w:pStyle w:val="ListParagraph"/>
        <w:numPr>
          <w:ilvl w:val="0"/>
          <w:numId w:val="2"/>
        </w:numPr>
        <w:spacing w:after="140" w:line="288"/>
        <w:jc w:val="both"/>
      </w:pPr>
      <w:r>
        <w:rPr>
          <w:rFonts w:ascii="Times New Roman" w:cs="Times New Roman" w:eastAsia="SimSun" w:hAnsi="Times New Roman"/>
          <w:b/>
          <w:bCs/>
          <w:sz w:val="22"/>
          <w:szCs w:val="22"/>
        </w:rPr>
        <w:t xml:space="preserve">Stage 2. </w:t>
      </w:r>
      <w:r>
        <w:rPr>
          <w:rFonts w:ascii="Times New Roman" w:cs="Times New Roman" w:eastAsia="SimSun" w:hAnsi="Times New Roman"/>
          <w:sz w:val="22"/>
          <w:szCs w:val="22"/>
        </w:rPr>
        <w:t xml:space="preserve">Play was recorded by hand and the software's electronic session telemetry and AI-call logs were not kept — the thesis states this correctly ("capability is not evidence"). One record failed verification yet is retained; the sensitivity note is acceptable, but the flag should be visible wherever that record touches a reported figure. The satisfaction finding (Fisher's exact p = 0.013, one of the few surviving inferential results) rests on an instrument whose administered form and anchors await archival confirmation; the Appendix C scans must be filed.</w:t>
      </w:r>
    </w:p>
    <w:p>
      <w:pPr>
        <w:pStyle w:val="ListParagraph"/>
        <w:numPr>
          <w:ilvl w:val="0"/>
          <w:numId w:val="2"/>
        </w:numPr>
        <w:spacing w:after="140" w:line="288"/>
        <w:jc w:val="both"/>
      </w:pPr>
      <w:r>
        <w:rPr>
          <w:rFonts w:ascii="Times New Roman" w:cs="Times New Roman" w:eastAsia="SimSun" w:hAnsi="Times New Roman"/>
          <w:b/>
          <w:bCs/>
          <w:sz w:val="22"/>
          <w:szCs w:val="22"/>
        </w:rPr>
        <w:t xml:space="preserve">The reproducibility apparatus is still stubs. </w:t>
      </w:r>
      <w:r>
        <w:rPr>
          <w:rFonts w:ascii="Times New Roman" w:cs="Times New Roman" w:eastAsia="SimSun" w:hAnsi="Times New Roman"/>
          <w:sz w:val="22"/>
          <w:szCs w:val="22"/>
        </w:rPr>
        <w:t xml:space="preserve">The G.0 source-to-result manifest and the G.0A build-lineage matrix — the thesis's entire audit trail — are marked AUTHOR INPUT NEEDED. Section 8.9 promises deposits that do not yet exist (G.1, G.7, the Appendix C scans, the G.10 consent, the completed manifest rows). Everything promised must be bound and accessible to examiners, or the corresponding claims qualified.</w:t>
      </w:r>
    </w:p>
    <w:p>
      <w:pPr>
        <w:pStyle w:val="Heading2"/>
        <w:spacing w:after="100" w:before="240"/>
      </w:pPr>
      <w:r>
        <w:rPr>
          <w:rFonts w:ascii="Times New Roman" w:cs="Times New Roman" w:eastAsia="SimSun" w:hAnsi="Times New Roman"/>
          <w:b/>
          <w:bCs/>
          <w:color w:val="34506B"/>
          <w:sz w:val="24"/>
          <w:szCs w:val="24"/>
        </w:rPr>
        <w:t xml:space="preserve">5.3 Evidential Sufficiency and the Framing of the Contribution</w:t>
      </w:r>
    </w:p>
    <w:p>
      <w:pPr>
        <w:spacing w:after="140" w:line="288"/>
        <w:jc w:val="both"/>
      </w:pPr>
      <w:r>
        <w:rPr>
          <w:rFonts w:ascii="Times New Roman" w:cs="Times New Roman" w:eastAsia="SimSun" w:hAnsi="Times New Roman"/>
          <w:sz w:val="22"/>
          <w:szCs w:val="22"/>
        </w:rPr>
        <w:t xml:space="preserve">Stripped of what was withdrawn, the completed programme establishes three things: a documented deployment shortfall (Stage 2), a contrasting engagement pattern in a wholly non-equivalent cohort (Stage 3), and a specification (Chapter 7). The author says so himself, repeatedly. Two examiner-level consequences follow.</w:t>
      </w:r>
    </w:p>
    <w:p>
      <w:pPr>
        <w:pStyle w:val="ListParagraph"/>
        <w:numPr>
          <w:ilvl w:val="0"/>
          <w:numId w:val="2"/>
        </w:numPr>
        <w:spacing w:after="140" w:line="288"/>
        <w:jc w:val="both"/>
      </w:pPr>
      <w:r>
        <w:rPr>
          <w:rFonts w:ascii="Times New Roman" w:cs="Times New Roman" w:eastAsia="SimSun" w:hAnsi="Times New Roman"/>
          <w:b/>
          <w:bCs/>
          <w:sz w:val="22"/>
          <w:szCs w:val="22"/>
        </w:rPr>
        <w:t xml:space="preserve">What is demonstrated, as opposed to proposed? </w:t>
      </w:r>
      <w:r>
        <w:rPr>
          <w:rFonts w:ascii="Times New Roman" w:cs="Times New Roman" w:eastAsia="SimSun" w:hAnsi="Times New Roman"/>
          <w:sz w:val="22"/>
          <w:szCs w:val="22"/>
        </w:rPr>
        <w:t xml:space="preserve">FIAS is a label whose composite is contaminated by outcome-defining variables by construction; the frame-sensitive causal claim survives only as directional evidence; the adaptive-learning framework named by the title is untested after Stage-3B's withdrawal. For a professional doctorate the reviewer can accept "problem clarification, iterative design learning and a testable specification" as sufficient — but only if the candidate argues it directly against the degree's practice-oriented standard. At present the thesis argues by relentless disclaimer; the defence needs a positive, one-paragraph statement of what engineering knowledge now exists that did not exist before this programme.</w:t>
      </w:r>
    </w:p>
    <w:p>
      <w:pPr>
        <w:pStyle w:val="ListParagraph"/>
        <w:numPr>
          <w:ilvl w:val="0"/>
          <w:numId w:val="2"/>
        </w:numPr>
        <w:spacing w:after="140" w:line="288"/>
        <w:jc w:val="both"/>
      </w:pPr>
      <w:r>
        <w:rPr>
          <w:rFonts w:ascii="Times New Roman" w:cs="Times New Roman" w:eastAsia="SimSun" w:hAnsi="Times New Roman"/>
          <w:b/>
          <w:bCs/>
          <w:sz w:val="22"/>
          <w:szCs w:val="22"/>
        </w:rPr>
        <w:t xml:space="preserve">Title–content alignment. </w:t>
      </w:r>
      <w:r>
        <w:rPr>
          <w:rFonts w:ascii="Times New Roman" w:cs="Times New Roman" w:eastAsia="SimSun" w:hAnsi="Times New Roman"/>
          <w:sz w:val="22"/>
          <w:szCs w:val="22"/>
        </w:rPr>
        <w:t xml:space="preserve">"Continuous Improvement and Innovation Enhancement" is demonstrated only at the researcher and artefact levels, never at the participant or service level — the thesis concedes this in so many words. The candidate should consider a subtitle or reframed title (for example, "…: An Exploratory Action-Research Study of Failure-Associated Abandonment in Gamified Fall-Risk Assessment") so that the title promises what the thesis delivers.</w:t>
      </w:r>
    </w:p>
    <w:p>
      <w:pPr>
        <w:pStyle w:val="Heading2"/>
        <w:spacing w:after="100" w:before="240"/>
      </w:pPr>
      <w:r>
        <w:rPr>
          <w:rFonts w:ascii="Times New Roman" w:cs="Times New Roman" w:eastAsia="SimSun" w:hAnsi="Times New Roman"/>
          <w:b/>
          <w:bCs/>
          <w:color w:val="34506B"/>
          <w:sz w:val="24"/>
          <w:szCs w:val="24"/>
        </w:rPr>
        <w:t xml:space="preserve">5.4 Internal Consistency</w:t>
      </w:r>
    </w:p>
    <w:p>
      <w:pPr>
        <w:pStyle w:val="ListParagraph"/>
        <w:numPr>
          <w:ilvl w:val="0"/>
          <w:numId w:val="2"/>
        </w:numPr>
        <w:spacing w:after="140" w:line="288"/>
        <w:jc w:val="both"/>
      </w:pPr>
      <w:r>
        <w:rPr>
          <w:rFonts w:ascii="Times New Roman" w:cs="Times New Roman" w:eastAsia="SimSun" w:hAnsi="Times New Roman"/>
          <w:b/>
          <w:bCs/>
          <w:sz w:val="22"/>
          <w:szCs w:val="22"/>
        </w:rPr>
        <w:t xml:space="preserve">The single-session joint count. </w:t>
      </w:r>
      <w:r>
        <w:rPr>
          <w:rFonts w:ascii="Times New Roman" w:cs="Times New Roman" w:eastAsia="SimSun" w:hAnsi="Times New Roman"/>
          <w:sz w:val="22"/>
          <w:szCs w:val="22"/>
        </w:rPr>
        <w:t xml:space="preserve">Section 5.5 states that the single-session margins do not identify how many participants simultaneously recorded a score increase and were reported as showing no symptom improvement; Section 8.3 then reports exactly that joint count (3 of 8; 2 of 7 excluding the unverified record). Reconcile — presumably Section 5.5 should point forward to the archived joint count.</w:t>
      </w:r>
    </w:p>
    <w:p>
      <w:pPr>
        <w:pStyle w:val="ListParagraph"/>
        <w:numPr>
          <w:ilvl w:val="0"/>
          <w:numId w:val="2"/>
        </w:numPr>
        <w:spacing w:after="140" w:line="288"/>
        <w:jc w:val="both"/>
      </w:pPr>
      <w:r>
        <w:rPr>
          <w:rFonts w:ascii="Times New Roman" w:cs="Times New Roman" w:eastAsia="SimSun" w:hAnsi="Times New Roman"/>
          <w:b/>
          <w:bCs/>
          <w:sz w:val="22"/>
          <w:szCs w:val="22"/>
        </w:rPr>
        <w:t xml:space="preserve">F4 membership. </w:t>
      </w:r>
      <w:r>
        <w:rPr>
          <w:rFonts w:ascii="Times New Roman" w:cs="Times New Roman" w:eastAsia="SimSun" w:hAnsi="Times New Roman"/>
          <w:sz w:val="22"/>
          <w:szCs w:val="22"/>
        </w:rPr>
        <w:t xml:space="preserve">The completion checklist records that two F4 identifiers were named in error and superseded (V54 to V55). After the checklist is removed, re-verify the six identifiers in Section 5.6 (S2-P006, P007, P011, P015, P026, P028) against the Stage-2 ID register, and confirm that the unverified record (S2-P015) is flagged everywhere the F4 cluster is discussed.</w:t>
      </w:r>
    </w:p>
    <w:p>
      <w:pPr>
        <w:pStyle w:val="ListParagraph"/>
        <w:numPr>
          <w:ilvl w:val="0"/>
          <w:numId w:val="2"/>
        </w:numPr>
        <w:spacing w:after="140" w:line="288"/>
        <w:jc w:val="both"/>
      </w:pPr>
      <w:r>
        <w:rPr>
          <w:rFonts w:ascii="Times New Roman" w:cs="Times New Roman" w:eastAsia="SimSun" w:hAnsi="Times New Roman"/>
          <w:b/>
          <w:bCs/>
          <w:sz w:val="22"/>
          <w:szCs w:val="22"/>
        </w:rPr>
        <w:t xml:space="preserve">Abstract length. </w:t>
      </w:r>
      <w:r>
        <w:rPr>
          <w:rFonts w:ascii="Times New Roman" w:cs="Times New Roman" w:eastAsia="SimSun" w:hAnsi="Times New Roman"/>
          <w:sz w:val="22"/>
          <w:szCs w:val="22"/>
        </w:rPr>
        <w:t xml:space="preserve">The abstract body stands at 498 words against the University's 500-word ceiling. Trim to approximately 470 so that any late edit cannot push it over the limit.</w:t>
      </w:r>
    </w:p>
    <w:p>
      <w:pPr>
        <w:pStyle w:val="Heading1"/>
        <w:spacing w:after="140" w:before="320"/>
      </w:pPr>
      <w:r>
        <w:rPr>
          <w:rFonts w:ascii="Times New Roman" w:cs="Times New Roman" w:eastAsia="SimSun" w:hAnsi="Times New Roman"/>
          <w:b/>
          <w:bCs/>
          <w:color w:val="1F2A36"/>
          <w:sz w:val="28"/>
          <w:szCs w:val="28"/>
        </w:rPr>
        <w:t xml:space="preserve">6. Editorial and Production Matters (Blocking)</w:t>
      </w:r>
    </w:p>
    <w:p>
      <w:pPr>
        <w:spacing w:after="140" w:line="288"/>
        <w:jc w:val="both"/>
      </w:pPr>
      <w:r>
        <w:rPr>
          <w:rFonts w:ascii="Times New Roman" w:cs="Times New Roman" w:eastAsia="SimSun" w:hAnsi="Times New Roman"/>
          <w:sz w:val="22"/>
          <w:szCs w:val="22"/>
        </w:rPr>
        <w:t xml:space="preserve">The following items, individually minor, collectively establish that the document is not finished. All must be cleared before the thesis is physically submitted.</w:t>
      </w:r>
    </w:p>
    <w:p>
      <w:pPr>
        <w:pStyle w:val="ListParagraph"/>
        <w:numPr>
          <w:ilvl w:val="0"/>
          <w:numId w:val="2"/>
        </w:numPr>
        <w:spacing w:after="140" w:line="288"/>
        <w:jc w:val="both"/>
      </w:pPr>
      <w:r>
        <w:rPr>
          <w:rFonts w:ascii="Times New Roman" w:cs="Times New Roman" w:eastAsia="SimSun" w:hAnsi="Times New Roman"/>
          <w:sz w:val="22"/>
          <w:szCs w:val="22"/>
        </w:rPr>
        <w:t xml:space="preserve">Five "[AUTHOR INPUT NEEDED]" stubs remain in the text: Section 6.12 (the second Lau consultation), Appendix G.0 (source-to-result manifest), G.0A (build-lineage matrix), H.6 and H.7. None may survive to submission.</w:t>
      </w:r>
    </w:p>
    <w:p>
      <w:pPr>
        <w:pStyle w:val="ListParagraph"/>
        <w:numPr>
          <w:ilvl w:val="0"/>
          <w:numId w:val="2"/>
        </w:numPr>
        <w:spacing w:after="140" w:line="288"/>
        <w:jc w:val="both"/>
      </w:pPr>
      <w:r>
        <w:rPr>
          <w:rFonts w:ascii="Times New Roman" w:cs="Times New Roman" w:eastAsia="SimSun" w:hAnsi="Times New Roman"/>
          <w:sz w:val="22"/>
          <w:szCs w:val="22"/>
        </w:rPr>
        <w:t xml:space="preserve">The entire author completion checklist (V42–V66) is embedded in the document after Appendix I. It records drafting history, responses to the September 2026 examination reports, pending items and author-versus-supervisor decision points. It must be deleted in full; its presence in a submitted thesis would itself constitute evidence of incompleteness.</w:t>
      </w:r>
    </w:p>
    <w:p>
      <w:pPr>
        <w:pStyle w:val="ListParagraph"/>
        <w:numPr>
          <w:ilvl w:val="0"/>
          <w:numId w:val="2"/>
        </w:numPr>
        <w:spacing w:after="140" w:line="288"/>
        <w:jc w:val="both"/>
      </w:pPr>
      <w:r>
        <w:rPr>
          <w:rFonts w:ascii="Times New Roman" w:cs="Times New Roman" w:eastAsia="SimSun" w:hAnsi="Times New Roman"/>
          <w:sz w:val="22"/>
          <w:szCs w:val="22"/>
        </w:rPr>
        <w:t xml:space="preserve">The stated Stage-3B record cut-off (15 October 2026) is in the future relative to submission, and the text states that "one completion step remains after 15 October 2026." A thesis is a closed record: either close the record at an actual past date (the record at 29–30 September is complete) or hold submission until the entries are final.</w:t>
      </w:r>
    </w:p>
    <w:p>
      <w:pPr>
        <w:pStyle w:val="ListParagraph"/>
        <w:numPr>
          <w:ilvl w:val="0"/>
          <w:numId w:val="2"/>
        </w:numPr>
        <w:spacing w:after="140" w:line="288"/>
        <w:jc w:val="both"/>
      </w:pPr>
      <w:r>
        <w:rPr>
          <w:rFonts w:ascii="Times New Roman" w:cs="Times New Roman" w:eastAsia="SimSun" w:hAnsi="Times New Roman"/>
          <w:sz w:val="22"/>
          <w:szCs w:val="22"/>
        </w:rPr>
        <w:t xml:space="preserve">Front matter was never regenerated: the Table of Contents entry for Section 1.2 does not match the body heading; Appendix I carries no page number; Figures 2.1 and 8.1 are absent from the List of Figures; the List of Tables orders Table 9.3 before 9.2; and Figure 8.1 is cited and captioned at the end of Chapter 7 (Section 7.9) — renumber it as a Chapter-7 figure or move the exhibit. Regenerate the ToC and both lists as Word fields as the final production step.</w:t>
      </w:r>
    </w:p>
    <w:p>
      <w:pPr>
        <w:pStyle w:val="ListParagraph"/>
        <w:numPr>
          <w:ilvl w:val="0"/>
          <w:numId w:val="2"/>
        </w:numPr>
        <w:spacing w:after="140" w:line="288"/>
        <w:jc w:val="both"/>
      </w:pPr>
      <w:r>
        <w:rPr>
          <w:rFonts w:ascii="Times New Roman" w:cs="Times New Roman" w:eastAsia="SimSun" w:hAnsi="Times New Roman"/>
          <w:sz w:val="22"/>
          <w:szCs w:val="22"/>
        </w:rPr>
        <w:t xml:space="preserve">Broken cross-references: "(s8.7, s8.8)" in Section 4.1A; "s5.3.9", "s3.4", "s6.12" in the Appendix G/H stubs. Restore the section symbol throughout.</w:t>
      </w:r>
    </w:p>
    <w:p>
      <w:pPr>
        <w:pStyle w:val="ListParagraph"/>
        <w:numPr>
          <w:ilvl w:val="0"/>
          <w:numId w:val="2"/>
        </w:numPr>
        <w:spacing w:after="140" w:line="288"/>
        <w:jc w:val="both"/>
      </w:pPr>
      <w:r>
        <w:rPr>
          <w:rFonts w:ascii="Times New Roman" w:cs="Times New Roman" w:eastAsia="SimSun" w:hAnsi="Times New Roman"/>
          <w:sz w:val="22"/>
          <w:szCs w:val="22"/>
        </w:rPr>
        <w:t xml:space="preserve">Figure 1.1's alternative text contains a production artefact ("V39 revised conceptual figure associated with source paragraph 320"). Clean all image alt text.</w:t>
      </w:r>
    </w:p>
    <w:p>
      <w:pPr>
        <w:pStyle w:val="ListParagraph"/>
        <w:numPr>
          <w:ilvl w:val="0"/>
          <w:numId w:val="2"/>
        </w:numPr>
        <w:spacing w:after="140" w:line="288"/>
        <w:jc w:val="both"/>
      </w:pPr>
      <w:r>
        <w:rPr>
          <w:rFonts w:ascii="Times New Roman" w:cs="Times New Roman" w:eastAsia="SimSun" w:hAnsi="Times New Roman"/>
          <w:sz w:val="22"/>
          <w:szCs w:val="22"/>
        </w:rPr>
        <w:t xml:space="preserve">The Certificate of Originality is unsigned.</w:t>
      </w:r>
    </w:p>
    <w:p>
      <w:pPr>
        <w:pStyle w:val="ListParagraph"/>
        <w:numPr>
          <w:ilvl w:val="0"/>
          <w:numId w:val="2"/>
        </w:numPr>
        <w:spacing w:after="140" w:line="288"/>
        <w:jc w:val="both"/>
      </w:pPr>
      <w:r>
        <w:rPr>
          <w:rFonts w:ascii="Times New Roman" w:cs="Times New Roman" w:eastAsia="SimSun" w:hAnsi="Times New Roman"/>
          <w:sz w:val="22"/>
          <w:szCs w:val="22"/>
        </w:rPr>
        <w:t xml:space="preserve">References to "the examiner's report of 15 September 2026" and "examination-driven verification" appear in the main text (Sections 3.4, 5.6; Appendix I.1, I.7). Where the underlying item is closed, restore the neutral register so the thesis reads as a thesis rather than a response memorandum.</w:t>
      </w:r>
    </w:p>
    <w:p>
      <w:pPr>
        <w:pStyle w:val="ListParagraph"/>
        <w:numPr>
          <w:ilvl w:val="0"/>
          <w:numId w:val="2"/>
        </w:numPr>
        <w:spacing w:after="140" w:line="288"/>
        <w:jc w:val="both"/>
      </w:pPr>
      <w:r>
        <w:rPr>
          <w:rFonts w:ascii="Times New Roman" w:cs="Times New Roman" w:eastAsia="SimSun" w:hAnsi="Times New Roman"/>
          <w:sz w:val="22"/>
          <w:szCs w:val="22"/>
        </w:rPr>
        <w:t xml:space="preserve">Add a formal list of publications and outputs arising from the programme (Paper 1, ICMSS 2026, is noted at Chapter 4; the checklist references a Paper 3), with a statement of the candidate's own contribution to each.</w:t>
      </w:r>
    </w:p>
    <w:p>
      <w:pPr>
        <w:pStyle w:val="Heading1"/>
        <w:spacing w:after="140" w:before="320"/>
      </w:pPr>
      <w:r>
        <w:rPr>
          <w:rFonts w:ascii="Times New Roman" w:cs="Times New Roman" w:eastAsia="SimSun" w:hAnsi="Times New Roman"/>
          <w:b/>
          <w:bCs/>
          <w:color w:val="1F2A36"/>
          <w:sz w:val="28"/>
          <w:szCs w:val="28"/>
        </w:rPr>
        <w:t xml:space="preserve">7. Questions for the Candidate at the Oral Defence</w:t>
      </w:r>
    </w:p>
    <w:p>
      <w:pPr>
        <w:pStyle w:val="Heading1"/>
        <w:spacing w:after="140" w:before="320"/>
      </w:pPr>
      <w:r>
        <w:rPr>
          <w:rFonts w:ascii="Times New Roman" w:cs="Times New Roman" w:eastAsia="SimSun" w:hAnsi="Times New Roman"/>
          <w:b/>
          <w:bCs/>
          <w:color w:val="1F2A36"/>
          <w:sz w:val="28"/>
          <w:szCs w:val="28"/>
        </w:rPr>
        <w:t xml:space="preserve">8. Required Amendments and Recommendation</w:t>
      </w:r>
    </w:p>
    <w:p>
      <w:pPr>
        <w:spacing w:after="140" w:line="288"/>
        <w:jc w:val="both"/>
      </w:pPr>
      <w:r>
        <w:rPr>
          <w:rFonts w:ascii="Times New Roman" w:cs="Times New Roman" w:eastAsia="SimSun" w:hAnsi="Times New Roman"/>
          <w:sz w:val="22"/>
          <w:szCs w:val="22"/>
        </w:rPr>
        <w:t xml:space="preserve">The required amendments are grouped by gate. Category A items require institutional action and must be closed before the thesis is accepted; Category B items are substantive revisions the candidate can complete from existing records; Category C items are editorial and mechanical.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0"/>
        <w:gridCol w:w="1850"/>
        <w:gridCol w:w="4056"/>
        <w:gridCol w:w="1900"/>
      </w:tblGrid>
      <w:tr>
        <w:tc>
          <w:tcPr>
            <w:tcW w:type="dxa" w:w="1220"/>
            <w:shd w:fill="EEF2F5" w:val="clear"/>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Gate</w:t>
            </w:r>
          </w:p>
        </w:tc>
        <w:tc>
          <w:tcPr>
            <w:tcW w:type="dxa" w:w="1850"/>
            <w:shd w:fill="EEF2F5" w:val="clear"/>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Item</w:t>
            </w:r>
          </w:p>
        </w:tc>
        <w:tc>
          <w:tcPr>
            <w:tcW w:type="dxa" w:w="4056"/>
            <w:shd w:fill="EEF2F5" w:val="clear"/>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Required action</w:t>
            </w:r>
          </w:p>
        </w:tc>
        <w:tc>
          <w:tcPr>
            <w:tcW w:type="dxa" w:w="1900"/>
            <w:shd w:fill="EEF2F5" w:val="clear"/>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Evidence of closure</w:t>
            </w:r>
          </w:p>
        </w:tc>
      </w:tr>
      <w:tr>
        <w:tc>
          <w:tcPr>
            <w:tcW w:type="dxa" w:w="122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A — before acceptance</w:t>
            </w:r>
          </w:p>
        </w:tc>
        <w:tc>
          <w:tcPr>
            <w:tcW w:type="dxa" w:w="185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Ethics coverage (§3.4; I.7)</w:t>
            </w:r>
          </w:p>
        </w:tc>
        <w:tc>
          <w:tcPr>
            <w:tcW w:type="dxa" w:w="4056"/>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Obtain a formal institutional determination that the retrospective approval (HSEARS20260805008) covers the Stage 1–3A procedures and consent arrangements as conducted, and a determination of whether the Stage-3B collection fell within the approved scope or required an amendment. Write the determinations into §3.4 and I.7; delete every "open item" formulation.</w:t>
            </w:r>
          </w:p>
        </w:tc>
      </w:tr>
      <w:tr>
        <w:tc>
          <w:tcPr>
            <w:tcW w:type="dxa" w:w="122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A — before acceptance</w:t>
            </w:r>
          </w:p>
        </w:tc>
        <w:tc>
          <w:tcPr>
            <w:tcW w:type="dxa" w:w="185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Expert attributions (§6.12; H.6–H.8)</w:t>
            </w:r>
          </w:p>
        </w:tc>
        <w:tc>
          <w:tcPr>
            <w:tcW w:type="dxa" w:w="4056"/>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Complete member-checks and attribution elections for all named experts, or pseudonymise. Close the supervisor's Stage-3B protocol sign-off record or document what was agreed instead.</w:t>
            </w:r>
          </w:p>
        </w:tc>
      </w:tr>
      <w:tr>
        <w:tc>
          <w:tcPr>
            <w:tcW w:type="dxa" w:w="122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B — revision</w:t>
            </w:r>
          </w:p>
        </w:tc>
        <w:tc>
          <w:tcPr>
            <w:tcW w:type="dxa" w:w="185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Deposits and audit trail (§8.9; G.0–G.13)</w:t>
            </w:r>
          </w:p>
        </w:tc>
        <w:tc>
          <w:tcPr>
            <w:tcW w:type="dxa" w:w="4056"/>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Complete and deposit the G.0 manifest and G.0A build-lineage matrix; deposit or formally account for G.1 (Stage-1 response file), G.7 (prompt archive), the Appendix C completed-form scans, and the G.10 consent. Where a deposit cannot be made, qualify the claims that depend on it.</w:t>
            </w:r>
          </w:p>
        </w:tc>
      </w:tr>
      <w:tr>
        <w:tc>
          <w:tcPr>
            <w:tcW w:type="dxa" w:w="122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B — revision</w:t>
            </w:r>
          </w:p>
        </w:tc>
        <w:tc>
          <w:tcPr>
            <w:tcW w:type="dxa" w:w="185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Stage-3 reconciliation (§6.4; G.3)</w:t>
            </w:r>
          </w:p>
        </w:tc>
        <w:tc>
          <w:tcPr>
            <w:tcW w:type="dxa" w:w="4056"/>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Explain why the quarantined raw import sheet disagrees with the published summary and state the basis on which the summary was verified; add an explicit statement of how the definitional limits (no denominator, unreconstructable checkpoint, distributors among the 120, two builds) bear on each headline figure.</w:t>
            </w:r>
          </w:p>
        </w:tc>
      </w:tr>
      <w:tr>
        <w:tc>
          <w:tcPr>
            <w:tcW w:type="dxa" w:w="122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B — revision</w:t>
            </w:r>
          </w:p>
        </w:tc>
        <w:tc>
          <w:tcPr>
            <w:tcW w:type="dxa" w:w="185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Consistency and framing (§5.5/§8.3; §5.6; title; §9.7)</w:t>
            </w:r>
          </w:p>
        </w:tc>
        <w:tc>
          <w:tcPr>
            <w:tcW w:type="dxa" w:w="4056"/>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Reconcile the single-session joint count; re-verify the F4 identifiers; add the positive statement of demonstrated engineering knowledge; consider a subtitle aligning the title with the achieved contribution.</w:t>
            </w:r>
          </w:p>
        </w:tc>
      </w:tr>
      <w:tr>
        <w:tc>
          <w:tcPr>
            <w:tcW w:type="dxa" w:w="122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C — production</w:t>
            </w:r>
          </w:p>
        </w:tc>
        <w:tc>
          <w:tcPr>
            <w:tcW w:type="dxa" w:w="185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Document completion (§6)</w:t>
            </w:r>
          </w:p>
        </w:tc>
        <w:tc>
          <w:tcPr>
            <w:tcW w:type="dxa" w:w="4056"/>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Remove the five AUTHOR INPUT NEEDED stubs and the V42–V66 completion checklist; close the Stage-3B record at a past date; regenerate ToC and the figure/table lists; renumber Figure 8.1; repair broken cross-references; clean image alt text; sign the Certificate of Originality; trim the abstract to about 470 words; add the publications list.</w:t>
            </w:r>
          </w:p>
        </w:tc>
      </w:tr>
    </w:tbl>
    <w:p>
      <w:pPr>
        <w:spacing w:after="140" w:line="288"/>
      </w:pPr>
      <w:r>
        <w:rPr>
          <w:rFonts w:ascii="Times New Roman" w:cs="Times New Roman" w:eastAsia="SimSun" w:hAnsi="Times New Roman"/>
          <w:sz w:val="8"/>
          <w:szCs w:val="8"/>
        </w:rPr>
        <w:t xml:space="preserve"/>
      </w:r>
    </w:p>
    <w:p>
      <w:pPr>
        <w:pStyle w:val="Heading2"/>
        <w:spacing w:after="100" w:before="240"/>
      </w:pPr>
      <w:r>
        <w:rPr>
          <w:rFonts w:ascii="Times New Roman" w:cs="Times New Roman" w:eastAsia="SimSun" w:hAnsi="Times New Roman"/>
          <w:b/>
          <w:bCs/>
          <w:color w:val="34506B"/>
          <w:sz w:val="24"/>
          <w:szCs w:val="24"/>
        </w:rPr>
        <w:t xml:space="preserve">Recommendation</w:t>
      </w:r>
    </w:p>
    <w:p>
      <w:pPr>
        <w:spacing w:after="140" w:line="288"/>
        <w:jc w:val="both"/>
      </w:pPr>
      <w:r>
        <w:rPr>
          <w:rFonts w:ascii="Times New Roman" w:cs="Times New Roman" w:eastAsia="SimSun" w:hAnsi="Times New Roman"/>
          <w:sz w:val="22"/>
          <w:szCs w:val="22"/>
        </w:rPr>
        <w:t xml:space="preserve">Were this submission before the panel today, the recommendation would be: the thesis is not acceptable in its current form; the candidate should revise and resubmit for approval by the same panel, without further data collection and without a further oral examination unless the panel requires one. The Category A items are institutional and time-bound; the Category B and C items are within the candidate's gift and require weeks, not months.</w:t>
      </w:r>
    </w:p>
    <w:p>
      <w:pPr>
        <w:spacing w:after="140" w:line="288"/>
        <w:jc w:val="both"/>
      </w:pPr>
      <w:r>
        <w:rPr>
          <w:rFonts w:ascii="Times New Roman" w:cs="Times New Roman" w:eastAsia="SimSun" w:hAnsi="Times New Roman"/>
          <w:sz w:val="22"/>
          <w:szCs w:val="22"/>
        </w:rPr>
        <w:t xml:space="preserve">It should be recorded, finally, that the reviewer reads the thesis's caution as a strength rather than an evasion. The programme observed something real and practically important — a clinically beneficial, free, supported station that older adults would not return to after difficulty — and it declined, at every point where the record would not carry the weight, to claim more than it held. With the ethics items closed, the deposits completed and the document finished, the thesis's honest core is, in this reviewer's judgement, a defensible EngD contribution, and the candidate should be congratulated for it.</w:t>
      </w:r>
    </w:p>
    <w:p>
      <w:pPr>
        <w:spacing w:after="140" w:line="288"/>
      </w:pPr>
      <w:r>
        <w:rPr>
          <w:rFonts w:ascii="Times New Roman" w:cs="Times New Roman" w:eastAsia="SimSun" w:hAnsi="Times New Roman"/>
          <w:sz w:val="8"/>
          <w:szCs w:val="8"/>
        </w:rPr>
        <w:t xml:space="preserve"/>
      </w:r>
    </w:p>
    <w:p>
      <w:pPr>
        <w:spacing w:after="140" w:line="288"/>
        <w:jc w:val="center"/>
      </w:pPr>
      <w:r>
        <w:rPr>
          <w:rFonts w:ascii="Times New Roman" w:cs="Times New Roman" w:eastAsia="SimSun" w:hAnsi="Times New Roman"/>
          <w:color w:val="7A8896"/>
          <w:sz w:val="20"/>
          <w:szCs w:val="20"/>
        </w:rPr>
        <w:t xml:space="preserve">— End of report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40" w:line="288"/>
      <w:jc w:val="center"/>
    </w:pPr>
    <w:r>
      <w:rPr>
        <w:rFonts w:ascii="Times New Roman" w:cs="Times New Roman" w:eastAsia="SimSu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rPr>
        <w:rFonts w:ascii="Times New Roman" w:cs="Times New Roman" w:eastAsia="SimSun" w:hAnsi="Times New Roman"/>
        <w:b/>
        <w:bCs/>
        <w:color w:val="34506B"/>
        <w:sz w:val="18"/>
        <w:szCs w:val="18"/>
      </w:rPr>
      <w:t xml:space="preserve">Examiner's Review Report — EngD Thesis (S. K. T. Tam,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abstractNum w:abstractNumId="3" w15:restartNumberingAfterBreak="0">
    <w:multiLevelType w:val="hybridMultilevel"/>
    <w:lvl w:ilvl="0" w15:tentative="1">
      <w:start w:val="1"/>
      <w:numFmt w:val="decimal"/>
      <w:lvlText w:val="Q%1."/>
      <w:lvlJc w:val="left"/>
      <w:pPr>
        <w:ind w:left="604" w:hanging="40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2026-10-02T12:56:46.008Z</dcterms:created>
  <dcterms:modified xsi:type="dcterms:W3CDTF">2026-10-02T12:56:46.009Z</dcterms:modified>
</cp:coreProperties>
</file>

<file path=docProps/custom.xml><?xml version="1.0" encoding="utf-8"?>
<Properties xmlns="http://schemas.openxmlformats.org/officeDocument/2006/custom-properties" xmlns:vt="http://schemas.openxmlformats.org/officeDocument/2006/docPropsVTypes"/>
</file>