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F3A5F"/>
          <w:sz w:val="60"/>
        </w:rPr>
        <w:t>SYNAPEP</w:t>
      </w:r>
    </w:p>
    <w:p>
      <w:pPr>
        <w:spacing w:after="40"/>
        <w:jc w:val="center"/>
      </w:pPr>
      <w:r>
        <w:rPr>
          <w:b w:val="0"/>
          <w:i w:val="0"/>
          <w:color w:val="555555"/>
          <w:sz w:val="34"/>
        </w:rPr>
        <w:t>Comprehensive Investor Report</w:t>
      </w:r>
    </w:p>
    <w:p>
      <w:pPr>
        <w:spacing w:after="400"/>
        <w:jc w:val="center"/>
      </w:pPr>
      <w:r>
        <w:rPr>
          <w:b w:val="0"/>
          <w:i/>
          <w:color w:val="555555"/>
          <w:sz w:val="24"/>
        </w:rPr>
        <w:t>AI-Personalised Aesthetic Medical Devices — Korea-anchored, export-led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Prepared as an independent operator/investor read (chemical-engineering + aesthetic-medicine lens). Illustrative planning document — not investment, legal or tax advice. Financials are scenario estimates consistent with the v0.4 model.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spacing w:after="120"/>
      </w:pPr>
      <w:r>
        <w:rPr>
          <w:b w:val="0"/>
          <w:i w:val="0"/>
          <w:sz w:val="21"/>
        </w:rPr>
        <w:t>Synapep sells AI-personalised aesthetic treatments to physician clinics: an applicator device plus recurring, CodeLife-configured peptide/exosome treatment kits, registered as a medical-device family. The product is developed for Korean physicians, registered with Korea MFDS, then exported as-is — the same product — using MFDS as a reliance/recognition springboard across Asia and the Gulf. The durable asset is a proprietary aesthetic-medicine AI model and a compounding outcomes dataset (the data flywheel).</w:t>
      </w:r>
    </w:p>
    <w:p>
      <w:pPr>
        <w:pStyle w:val="Heading2"/>
      </w:pPr>
      <w:r>
        <w:t>The numbers (multi-market, same product)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  <w:sz w:val="19"/>
              </w:rPr>
              <w:t>2030 outcome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Conservative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Base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Upside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Markets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11 (China excl.)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12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Clinics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1,167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2,020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2,626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$35.0M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$75.1M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$112.2M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Gross profit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$22.3M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$49.0M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$74.5M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EBITDA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$10.3M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$33.0M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$55.5M</w:t>
            </w:r>
          </w:p>
        </w:tc>
      </w:tr>
    </w:tbl>
    <w:p>
      <w:pPr>
        <w:spacing w:after="40"/>
      </w:pPr>
    </w:p>
    <w:p>
      <w:pPr>
        <w:pStyle w:val="Heading2"/>
      </w:pPr>
      <w:r>
        <w:t>The ask</w:t>
      </w:r>
    </w:p>
    <w:p>
      <w:pPr>
        <w:pStyle w:val="ListBullet"/>
      </w:pPr>
      <w:r>
        <w:rPr>
          <w:b/>
        </w:rPr>
        <w:t>Round —</w:t>
      </w:r>
      <w:r>
        <w:t xml:space="preserve"> US$1.0M kickoff on a milestone-gated post-money SAFE, $6M cap / 20% discount, in two tranches ($400k close, $600k on milestones).</w:t>
      </w:r>
    </w:p>
    <w:p>
      <w:pPr>
        <w:pStyle w:val="ListBullet"/>
      </w:pPr>
      <w:r>
        <w:rPr>
          <w:b/>
        </w:rPr>
        <w:t>Valuation —</w:t>
      </w:r>
      <w:r>
        <w:t xml:space="preserve"> priced today on the device/consumables floor ($5–6M pre); the AI/data-company upside is the Series A thesis, not the seed price.</w:t>
      </w:r>
    </w:p>
    <w:p>
      <w:pPr>
        <w:pStyle w:val="ListBullet"/>
      </w:pPr>
      <w:r>
        <w:rPr>
          <w:b/>
        </w:rPr>
        <w:t>What $1M buys —</w:t>
      </w:r>
      <w:r>
        <w:t xml:space="preserve"> resolve cold-chain/COGS and produce the validation pack; stand up Korea + Wave-1 export (HK, Vietnam, Singapore); ship CodeLife v1 + the data-rights clause.</w:t>
      </w:r>
    </w:p>
    <w:p>
      <w:pPr>
        <w:pStyle w:val="Heading1"/>
      </w:pPr>
      <w:r>
        <w:t>2. Company &amp; market opportunity</w:t>
      </w:r>
    </w:p>
    <w:p>
      <w:pPr>
        <w:pStyle w:val="ListBullet"/>
      </w:pPr>
      <w:r>
        <w:rPr>
          <w:b/>
        </w:rPr>
        <w:t>Market —</w:t>
      </w:r>
      <w:r>
        <w:t xml:space="preserve"> medical aesthetics ≈ $17–18.5B (2024), ~10–13% CAGR, → ~$56B by 2033; injectables &gt;40% of revenue. Korea is a global aesthetics hub; Hong Kong a gateway.</w:t>
      </w:r>
    </w:p>
    <w:p>
      <w:pPr>
        <w:pStyle w:val="ListBullet"/>
      </w:pPr>
      <w:r>
        <w:rPr>
          <w:b/>
        </w:rPr>
        <w:t>Positioning —</w:t>
      </w:r>
      <w:r>
        <w:t xml:space="preserve"> commodity injectables (HA, botox) are not displaced (~$5–6.5B, still growing). Synapep is a new adjacent regenerative category, AI-personalised by physician purpose.</w:t>
      </w:r>
    </w:p>
    <w:p>
      <w:pPr>
        <w:pStyle w:val="ListBullet"/>
      </w:pPr>
      <w:r>
        <w:rPr>
          <w:b/>
        </w:rPr>
        <w:t>Structure —</w:t>
      </w:r>
      <w:r>
        <w:t xml:space="preserve"> JV — WBI 70% (IP: CodeLife.AI, IT-EXO®/SynExo, R&amp;D) / Eyesel 30% (manufacturing); valued standalone at ex-factory; distributors arm's-length / non-consolidated.</w:t>
      </w:r>
    </w:p>
    <w:p>
      <w:pPr>
        <w:pStyle w:val="Heading1"/>
      </w:pPr>
      <w:r>
        <w:t>3. Independent evaluation — strengths and corrections</w:t>
      </w:r>
    </w:p>
    <w:p>
      <w:pPr>
        <w:pStyle w:val="Heading2"/>
      </w:pPr>
      <w:r>
        <w:t>Validated strengths</w:t>
      </w:r>
    </w:p>
    <w:p>
      <w:pPr>
        <w:pStyle w:val="ListBullet"/>
      </w:pPr>
      <w:r>
        <w:rPr>
          <w:b/>
        </w:rPr>
        <w:t>Regulatory arbitrage —</w:t>
      </w:r>
      <w:r>
        <w:t xml:space="preserve"> Korea MFDS 'modified device' route + Hong Kong MDACS voluntary listing enable a fast, low-cost first registration and an export springboard.</w:t>
      </w:r>
    </w:p>
    <w:p>
      <w:pPr>
        <w:pStyle w:val="ListBullet"/>
      </w:pPr>
      <w:r>
        <w:rPr>
          <w:b/>
        </w:rPr>
        <w:t>Razor-and-blades —</w:t>
      </w:r>
      <w:r>
        <w:t xml:space="preserve"> device placement + recurring kits is stickier and higher-value than commodity OEM vials.</w:t>
      </w:r>
    </w:p>
    <w:p>
      <w:pPr>
        <w:pStyle w:val="ListBullet"/>
      </w:pPr>
      <w:r>
        <w:rPr>
          <w:b/>
        </w:rPr>
        <w:t>AI efficacy + flywheel —</w:t>
      </w:r>
      <w:r>
        <w:t xml:space="preserve"> designing peptides that outperform generalised products, plus an AI-QA/analytics loop, creates a compounding data advantage.</w:t>
      </w:r>
    </w:p>
    <w:p>
      <w:pPr>
        <w:pStyle w:val="Heading2"/>
      </w:pPr>
      <w:r>
        <w:t>Corrections carried into the plan</w:t>
      </w:r>
    </w:p>
    <w:p>
      <w:pPr>
        <w:pStyle w:val="ListNumber"/>
      </w:pPr>
      <w:r>
        <w:t>Device-vs-drug: an IM injectable is likely a drug/biologic — lead the device fast-path with the microneedling/topical line; run IM separately.</w:t>
      </w:r>
    </w:p>
    <w:p>
      <w:pPr>
        <w:pStyle w:val="ListNumber"/>
      </w:pPr>
      <w:r>
        <w:t>'Same raw materials': personalise via device parameters within a pre-cleared envelope, not new actives.</w:t>
      </w:r>
    </w:p>
    <w:p>
      <w:pPr>
        <w:pStyle w:val="ListNumber"/>
      </w:pPr>
      <w:r>
        <w:t>Exosomes: lead with non-human (salmon/synthetic) origin and claim discipline (Korea ad ban; EU human-exosome ban; US FDA warnings).</w:t>
      </w:r>
    </w:p>
    <w:p>
      <w:pPr>
        <w:pStyle w:val="ListNumber"/>
      </w:pPr>
      <w:r>
        <w:t>Cold chain &amp; COGS: reformulate to 2–8 °C / ambient or cost the chain; publish a bottom-up BOM. (This is the single biggest unlock.)</w:t>
      </w:r>
    </w:p>
    <w:p>
      <w:pPr>
        <w:pStyle w:val="ListNumber"/>
      </w:pPr>
      <w:r>
        <w:t>'$25M exposure': re-present at entity/product/channel level; treat as market signal, not company revenue.</w:t>
      </w:r>
    </w:p>
    <w:p>
      <w:pPr>
        <w:pStyle w:val="Heading1"/>
      </w:pPr>
      <w:r>
        <w:t>4. Business model — three pillars</w:t>
      </w:r>
    </w:p>
    <w:p>
      <w:pPr>
        <w:pStyle w:val="ListBullet"/>
      </w:pPr>
      <w:r>
        <w:rPr>
          <w:b/>
        </w:rPr>
        <w:t>Pillar 1 — AI engine &amp; data flywheel (the moat) —</w:t>
      </w:r>
      <w:r>
        <w:t xml:space="preserve"> CodeLife + a proprietary aesthetic-medicine model design personalised peptides engineered to outperform generalised products; an AI-QA suite validates every batch and feeds the flywheel. Configuration/decision-support within a cleared envelope (physician in the loop).</w:t>
      </w:r>
    </w:p>
    <w:p>
      <w:pPr>
        <w:pStyle w:val="ListBullet"/>
      </w:pPr>
      <w:r>
        <w:rPr>
          <w:b/>
        </w:rPr>
        <w:t>Pillar 2 — Devices &amp; kits (revenue wedge) —</w:t>
      </w:r>
      <w:r>
        <w:t xml:space="preserve"> applicator device placed/sold to clinics (also the data-capture endpoint) + recurring CodeLife-configured kits at ~$30–35 ex-factory within an approved family.</w:t>
      </w:r>
    </w:p>
    <w:p>
      <w:pPr>
        <w:pStyle w:val="ListBullet"/>
      </w:pPr>
      <w:r>
        <w:rPr>
          <w:b/>
        </w:rPr>
        <w:t>Pillar 3 — Data monetisation —</w:t>
      </w:r>
      <w:r>
        <w:t xml:space="preserve"> licensing the model/insights, physician outcome analytics, R&amp;D partnerships — the institutional-AI-investor story (upside, not in base P&amp;L).</w:t>
      </w:r>
    </w:p>
    <w:p>
      <w:pPr>
        <w:pStyle w:val="Heading1"/>
      </w:pPr>
      <w:r>
        <w:t>5. Technology &amp; the AI moat</w:t>
      </w:r>
    </w:p>
    <w:p>
      <w:pPr>
        <w:spacing w:after="120"/>
      </w:pPr>
      <w:r>
        <w:rPr>
          <w:b w:val="0"/>
          <w:i w:val="0"/>
          <w:sz w:val="21"/>
        </w:rPr>
        <w:t>The differentiator is performance, not merely personalisation. The moat compounds as the same product, used across many markets, returns structured, consented outcome data that improves the model — which improves the peptides — which deepens clinic lock-in.</w:t>
      </w:r>
    </w:p>
    <w:p>
      <w:pPr>
        <w:pStyle w:val="ListBullet"/>
      </w:pPr>
      <w:r>
        <w:rPr>
          <w:b/>
        </w:rPr>
        <w:t>Components —</w:t>
      </w:r>
      <w:r>
        <w:t xml:space="preserve"> AI peptide design (CodeLife), AI-QA/batch analytics, consented outcomes capture at the device, and a closed-loop retraining cadence.</w:t>
      </w:r>
    </w:p>
    <w:p>
      <w:pPr>
        <w:pStyle w:val="ListBullet"/>
      </w:pPr>
      <w:r>
        <w:rPr>
          <w:b/>
        </w:rPr>
        <w:t>Honest framing —</w:t>
      </w:r>
      <w:r>
        <w:t xml:space="preserve"> 'own large model' is a direction, not a day-one claim for a small team; the defensible asset now is the dataset + data-rights + analytics, not a foundation model.</w:t>
      </w:r>
    </w:p>
    <w:p>
      <w:pPr>
        <w:pStyle w:val="Heading1"/>
      </w:pPr>
      <w:r>
        <w:t>6. Regulatory strategy (Korea → Hong Kong → export)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56"/>
          </w:tcPr>
          <w:p>
            <w:r>
              <w:rPr>
                <w:b/>
                <w:sz w:val="19"/>
              </w:rPr>
              <w:t>Line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  <w:t>Pathway</w:t>
            </w:r>
          </w:p>
        </w:tc>
        <w:tc>
          <w:tcPr>
            <w:tcW w:type="dxa" w:w="2592"/>
          </w:tcPr>
          <w:p>
            <w:r>
              <w:rPr>
                <w:b/>
                <w:sz w:val="19"/>
              </w:rPr>
              <w:t>Speed / note</w:t>
            </w:r>
          </w:p>
        </w:tc>
      </w:tr>
      <w:tr>
        <w:tc>
          <w:tcPr>
            <w:tcW w:type="dxa" w:w="3456"/>
          </w:tcPr>
          <w:p>
            <w:r>
              <w:rPr>
                <w:sz w:val="19"/>
              </w:rPr>
              <w:t>Microneedling/topical kit + applicator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Korea MFDS modified-device; HK MDACS listing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Fast (~months); the lead, registrable family</w:t>
            </w:r>
          </w:p>
        </w:tc>
      </w:tr>
      <w:tr>
        <w:tc>
          <w:tcPr>
            <w:tcW w:type="dxa" w:w="3456"/>
          </w:tcPr>
          <w:p>
            <w:r>
              <w:rPr>
                <w:sz w:val="19"/>
              </w:rPr>
              <w:t>IM / injectable peptide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Drug/biologic (separate track) or cosmetic where permitted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Slower; do not gate the device launch on it</w:t>
            </w:r>
          </w:p>
        </w:tc>
      </w:tr>
      <w:tr>
        <w:tc>
          <w:tcPr>
            <w:tcW w:type="dxa" w:w="3456"/>
          </w:tcPr>
          <w:p>
            <w:r>
              <w:rPr>
                <w:sz w:val="19"/>
              </w:rPr>
              <w:t>CodeLife software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Configuration/decision-support in a cleared envelope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Manage SaMD exposure; physician in the loop</w:t>
            </w:r>
          </w:p>
        </w:tc>
      </w:tr>
    </w:tbl>
    <w:p>
      <w:pPr>
        <w:spacing w:after="40"/>
      </w:pPr>
    </w:p>
    <w:p>
      <w:pPr>
        <w:pStyle w:val="Heading1"/>
      </w:pPr>
      <w:r>
        <w:t>7. International expansion — KFDA as an export springboard</w:t>
      </w:r>
    </w:p>
    <w:p>
      <w:pPr>
        <w:spacing w:after="120"/>
      </w:pPr>
      <w:r>
        <w:rPr>
          <w:b w:val="0"/>
          <w:i w:val="0"/>
          <w:sz w:val="21"/>
        </w:rPr>
        <w:t>Two-speed: the device travels on the Korean technical file via reliance/recognition; the kit is wrapped per market (cosmetic vs device vs drug), leaning on salmon/synthetic origin. Precedent: Korean salmon-PDRN boosters (e.g., Rejuran) exported across SEA/Middle East/Europe off a Korean approval.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>
              <w:rPr>
                <w:b/>
                <w:sz w:val="19"/>
              </w:rPr>
              <w:t>Tier</w:t>
            </w:r>
          </w:p>
        </w:tc>
        <w:tc>
          <w:tcPr>
            <w:tcW w:type="dxa" w:w="6624"/>
          </w:tcPr>
          <w:p>
            <w:r>
              <w:rPr>
                <w:b/>
                <w:sz w:val="19"/>
              </w:rPr>
              <w:t>Markets &amp; KFDA leverage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Tier 1 — ASEAN + Hong Kong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HK MDACS recognises Korea MFDS as a reference (pair Korea + Singapore for the ≥2-reference expedited route); Vietnam accepts MFDS; Singapore HSA gateway; ASEAN AMDD/CSDT cascade to Thailand, Malaysia, Indonesia, Philippines.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Tier 2 — GCC + Greater China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Saudi SFDA (GCC regional reference) + UAE MOHAP; Taiwan TFDA accepts Korean data; China NMPA via Hainan/cross-border first.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555555"/>
          <w:sz w:val="19"/>
        </w:rPr>
        <w:t>Sequence: Korea anchor (2027) → HK/Vietnam/Singapore (2027–28) → ASEAN + GCC (2028–29) → Taiwan/China (2029–30). Each market needs a local responsible person/distributor.</w:t>
      </w:r>
    </w:p>
    <w:p>
      <w:pPr>
        <w:pStyle w:val="Heading1"/>
      </w:pPr>
      <w:r>
        <w:t>8. Multi-market financial model (3 scenarios)</w:t>
      </w:r>
    </w:p>
    <w:p>
      <w:pPr>
        <w:spacing w:after="120"/>
      </w:pPr>
      <w:r>
        <w:rPr>
          <w:b w:val="0"/>
          <w:i w:val="0"/>
          <w:sz w:val="21"/>
        </w:rPr>
        <w:t>Same Korean-developed product across all markets — scenarios flex only the clinic ramp, price and utilisation, never the product, so margins are stable and R&amp;D is not duplicated.</w:t>
      </w:r>
    </w:p>
    <w:p>
      <w:pPr>
        <w:pStyle w:val="Heading2"/>
      </w:pPr>
      <w:r>
        <w:t>Total revenue ($000s)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48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2,058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8,148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19,449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34,992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4,120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16,421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40,299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75,122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6,084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24,463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60,090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112,174</w:t>
            </w:r>
          </w:p>
        </w:tc>
      </w:tr>
    </w:tbl>
    <w:p>
      <w:pPr>
        <w:spacing w:after="40"/>
      </w:pPr>
    </w:p>
    <w:p>
      <w:pPr>
        <w:pStyle w:val="Heading2"/>
      </w:pPr>
      <w:r>
        <w:t>EBITDA ($000s)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48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-1,550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-902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3,299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10,324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-400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3,585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15,145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33,030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428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7,576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26,205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55,483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555555"/>
          <w:sz w:val="19"/>
        </w:rPr>
        <w:t>Unit economics (identical everywhere): kit EXW $30–35, kit GM ~64–67%%; device ASP $3,000, GM 35–42%%. Distributors arm's-length / non-consolidated; revenue booked at ex-factory. Full per-market clinic build in the Multi-Market Model document.</w:t>
      </w:r>
    </w:p>
    <w:p>
      <w:pPr>
        <w:pStyle w:val="Heading1"/>
      </w:pPr>
      <w:r>
        <w:t>9. Valuation — two lenses</w:t>
      </w:r>
    </w:p>
    <w:p>
      <w:pPr>
        <w:pStyle w:val="ListBullet"/>
      </w:pPr>
      <w:r>
        <w:rPr>
          <w:b/>
        </w:rPr>
        <w:t>Lens A (floor, priced today) —</w:t>
      </w:r>
      <w:r>
        <w:t xml:space="preserve"> device/consumables business — $5–7M pre / $6–8M post; recommend $6M midpoint for the $1M kickoff.</w:t>
      </w:r>
    </w:p>
    <w:p>
      <w:pPr>
        <w:pStyle w:val="ListBullet"/>
      </w:pPr>
      <w:r>
        <w:rPr>
          <w:b/>
        </w:rPr>
        <w:t>Lens B (upside) —</w:t>
      </w:r>
      <w:r>
        <w:t xml:space="preserve"> AI/data-science company — shifts comps from medtech to AI/data multiples; reframes the 2028 Series A as a premium, institutional AI round. The prize, not the seed price.</w:t>
      </w:r>
    </w:p>
    <w:p>
      <w:pPr>
        <w:pStyle w:val="Heading2"/>
      </w:pPr>
      <w:r>
        <w:t>Cap table — $6.0M pre / $1.0M (illustrative)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</w:tcPr>
          <w:p>
            <w:r>
              <w:rPr>
                <w:b/>
                <w:sz w:val="19"/>
              </w:rPr>
              <w:t>Holder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Pre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Post-raise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WBI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70.0%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60.0%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Eyesel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30.0%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25.7%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Investor (SAFE-converted)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14.3%</w:t>
            </w:r>
          </w:p>
        </w:tc>
      </w:tr>
    </w:tbl>
    <w:p>
      <w:pPr>
        <w:spacing w:after="40"/>
      </w:pPr>
    </w:p>
    <w:p>
      <w:pPr>
        <w:pStyle w:val="Heading1"/>
      </w:pPr>
      <w:r>
        <w:t>10. Diligence scorecard (technical-investor RAG)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b/>
                <w:sz w:val="18"/>
              </w:rPr>
              <w:t>RAG</w:t>
            </w:r>
          </w:p>
        </w:tc>
        <w:tc>
          <w:tcPr>
            <w:tcW w:type="dxa" w:w="5328"/>
          </w:tcPr>
          <w:p>
            <w:r>
              <w:rPr>
                <w:b/>
                <w:sz w:val="18"/>
              </w:rPr>
              <w:t>Gating question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Commercial validation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$25M by entity/product/channel + reorder data?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Chemistry / formulation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Is the personalisation envelope clean AND differentiating?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Manufacturing &amp; cold chain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RED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2–8 °C reformulation or costed cold chain + BOM?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Regulatory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Does the device path survive the envelope; claims controlled?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AI / data moat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Data-rights in the clinic contract; CodeLife v1 demo?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Financials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Rebuild base off anchor-clinic actuals?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Valuation / deal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What price holds before the validation pack exists?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 &amp; JV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WBI IP assignment/licence schedule into the JV?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Team / capital adequacy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Which milestones can $1M actually hit?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Market reach &amp; export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Per-market kit class; salmon/synthetic clears bans?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Verdict: conditional interest — diligence yes, their price no. Price $5–6M, milestone-gated. Resolve cold chain + COGS (RED) and the validation pack and amber→green across the board.</w:t>
      </w:r>
    </w:p>
    <w:p>
      <w:pPr>
        <w:pStyle w:val="Heading1"/>
      </w:pPr>
      <w:r>
        <w:t>11. Proposed deal — milestone-gated SAFE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>
              <w:rPr>
                <w:b/>
                <w:sz w:val="19"/>
              </w:rPr>
              <w:t>Term</w:t>
            </w:r>
          </w:p>
        </w:tc>
        <w:tc>
          <w:tcPr>
            <w:tcW w:type="dxa" w:w="6624"/>
          </w:tcPr>
          <w:p>
            <w:r>
              <w:rPr>
                <w:b/>
                <w:sz w:val="19"/>
              </w:rPr>
              <w:t>Proposed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Instrument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Post-money SAFE (milestone tranches)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Amount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US$1.0M — $400k close / $600k milestone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Cap / discount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$6.0M / 20% / MFN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Conditions precedent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IP into JV; $25M sample verification; clinic data-rights clause; clean cap table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Milestones (Tranche 2)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Cold-chain spec + COGS BOM; 5–10 anchor clinics w/ reorders; one prospective readout; classification memo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Governance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Board observer; pro-rata; information rights</w:t>
            </w:r>
          </w:p>
        </w:tc>
      </w:tr>
    </w:tbl>
    <w:p>
      <w:pPr>
        <w:spacing w:after="40"/>
      </w:pPr>
    </w:p>
    <w:p>
      <w:pPr>
        <w:pStyle w:val="Heading1"/>
      </w:pPr>
      <w:r>
        <w:t>12. Key risks &amp; mitigations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  <w:t>Risk</w:t>
            </w:r>
          </w:p>
        </w:tc>
        <w:tc>
          <w:tcPr>
            <w:tcW w:type="dxa" w:w="6048"/>
          </w:tcPr>
          <w:p>
            <w:r>
              <w:rPr>
                <w:b/>
                <w:sz w:val="19"/>
              </w:rPr>
              <w:t>Mitigation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Device-vs-drug reclassification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Lead device fast-path; IM on separate track; system registration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Cold-chain / COGS unproven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Reformulate to 2–8 °C; bottom-up BOM; QC release costing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Exosome claims restricted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Non-human origin; function-based claims; per-market claims map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Aggressive clinic ramp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Rebuild base off anchor-clinic reorder cohorts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Kit class varies by market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Per-market regulatory wrapper; reliance where available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Capital adequacy / Series A risk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Milestone gating; lean export via distributors</w:t>
            </w:r>
          </w:p>
        </w:tc>
      </w:tr>
    </w:tbl>
    <w:p>
      <w:pPr>
        <w:spacing w:after="40"/>
      </w:pPr>
    </w:p>
    <w:p>
      <w:pPr>
        <w:pStyle w:val="Heading1"/>
      </w:pPr>
      <w:r>
        <w:t>13. Roadmap, use of funds &amp; asks</w:t>
      </w:r>
    </w:p>
    <w:p>
      <w:pPr>
        <w:pStyle w:val="ListBullet"/>
      </w:pPr>
      <w:r>
        <w:rPr>
          <w:b/>
        </w:rPr>
        <w:t>0–12 months ($1M) —</w:t>
      </w:r>
      <w:r>
        <w:t xml:space="preserve"> Korea registration + anchor clinics; cold-chain/COGS resolution; CodeLife v1 + data-rights; Wave-1 export prep (HK, Vietnam, Singapore).</w:t>
      </w:r>
    </w:p>
    <w:p>
      <w:pPr>
        <w:pStyle w:val="ListBullet"/>
      </w:pPr>
      <w:r>
        <w:rPr>
          <w:b/>
        </w:rPr>
        <w:t>12–30 months —</w:t>
      </w:r>
      <w:r>
        <w:t xml:space="preserve"> ASEAN cascade + GCC; prospective beachhead readout; Series A (AI round) to fund multi-market registration + clinical salesforce.</w:t>
      </w:r>
    </w:p>
    <w:p>
      <w:pPr>
        <w:pStyle w:val="Heading2"/>
      </w:pPr>
      <w:r>
        <w:t>Open items to confirm</w:t>
      </w:r>
    </w:p>
    <w:p>
      <w:pPr>
        <w:pStyle w:val="ListBullet"/>
      </w:pPr>
      <w:r>
        <w:t xml:space="preserve"> Verify the $25M at entity/product/channel level (validation pack).</w:t>
      </w:r>
    </w:p>
    <w:p>
      <w:pPr>
        <w:pStyle w:val="ListBullet"/>
      </w:pPr>
      <w:r>
        <w:t xml:space="preserve"> Confirm device ASP/GM and per-market clinic ramps vs clinic counts.</w:t>
      </w:r>
    </w:p>
    <w:p>
      <w:pPr>
        <w:pStyle w:val="ListBullet"/>
      </w:pPr>
      <w:r>
        <w:t xml:space="preserve"> Head-to-head efficacy evidence that AI peptides outperform generalised products.</w:t>
      </w:r>
    </w:p>
    <w:p>
      <w:pPr>
        <w:pStyle w:val="ListBullet"/>
      </w:pPr>
      <w:r>
        <w:t xml:space="preserve"> Current ML capability/data assets vs the 'own large model' build plan.</w:t>
      </w:r>
    </w:p>
    <w:p>
      <w:pPr>
        <w:pStyle w:val="ListBullet"/>
      </w:pPr>
      <w:r>
        <w:t xml:space="preserve"> Round strategy: lean $1M seed (Lens A) vs a larger institutional-AI round (Lens B).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