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recruitment language (a coordination challenge, with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Participant-level clinical balance telemetry was not collected. Because cohort, setting, platform, input device, supervision and recruitment channel also differed, the design estimates the combined association of the decoupled condition and its context with behaviour.</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Recruitment materials described a coordination challenge and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w:t>
      </w:r>
    </w:p>
    <w:p>
      <w:r>
        <w:rPr>
          <w:i/>
          <w:sz w:val="18"/>
        </w:rPr>
        <w:t>Table 1. Overall engagement and dropout (N = 120).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w:t>
      </w:r>
    </w:p>
    <w:p>
      <w:r>
        <w:rPr>
          <w:i/>
          <w:sz w:val="18"/>
        </w:rPr>
        <w:t>Table 2. Age-stratified engagement.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aligned with thesis V24 — remote e-mailed HTML deployment; archive claims corrected.</dc:description>
  <cp:lastModifiedBy/>
  <cp:revision>1</cp:revision>
  <dcterms:created xsi:type="dcterms:W3CDTF">2013-12-23T23:15:00Z</dcterms:created>
  <dcterms:modified xsi:type="dcterms:W3CDTF">2013-12-23T23:15:00Z</dcterms:modified>
  <cp:category/>
</cp:coreProperties>
</file>