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40"/>
        <w:jc w:val="center"/>
      </w:pPr>
      <w:r>
        <w:rPr>
          <w:b/>
          <w:i w:val="0"/>
          <w:color w:val="1F3A5F"/>
          <w:sz w:val="68"/>
        </w:rPr>
        <w:t>GENAPEP</w:t>
      </w:r>
    </w:p>
    <w:p>
      <w:pPr>
        <w:spacing w:after="480"/>
        <w:jc w:val="center"/>
      </w:pPr>
      <w:r>
        <w:rPr>
          <w:b w:val="0"/>
          <w:i w:val="0"/>
          <w:color w:val="555555"/>
          <w:sz w:val="36"/>
        </w:rPr>
        <w:t>Business Plan &amp; Valuation</w:t>
      </w:r>
    </w:p>
    <w:p>
      <w:pPr>
        <w:spacing w:after="40"/>
        <w:jc w:val="center"/>
      </w:pPr>
      <w:r>
        <w:rPr>
          <w:b w:val="0"/>
          <w:i/>
          <w:sz w:val="24"/>
        </w:rPr>
        <w:t>AI-personalised regenerative aesthetic medicine — physician-configured peptide treatments</w:t>
      </w:r>
    </w:p>
    <w:p>
      <w:pPr>
        <w:spacing w:after="800"/>
        <w:jc w:val="center"/>
      </w:pPr>
      <w:r>
        <w:rPr>
          <w:b w:val="0"/>
          <w:i w:val="0"/>
          <w:color w:val="555555"/>
          <w:sz w:val="22"/>
        </w:rPr>
        <w:t>Powered by CodeLife.AI (proprietary model) · IT-EXO® · SynExo</w:t>
      </w:r>
    </w:p>
    <w:p>
      <w:pPr>
        <w:spacing w:after="40"/>
        <w:jc w:val="center"/>
      </w:pPr>
      <w:r>
        <w:rPr>
          <w:b/>
          <w:i w:val="0"/>
          <w:sz w:val="22"/>
        </w:rPr>
        <w:t>Joint Venture: WBI (Wellbiz International) 70%  ·  Eyesel (manufacturing) 30%</w:t>
      </w:r>
    </w:p>
    <w:p>
      <w:pPr>
        <w:spacing w:after="800"/>
        <w:jc w:val="center"/>
      </w:pPr>
      <w:r>
        <w:rPr>
          <w:b w:val="0"/>
          <w:i w:val="0"/>
          <w:color w:val="555555"/>
          <w:sz w:val="20"/>
        </w:rPr>
        <w:t>Draft v0.4  ·  Prepared 6 June 2026</w:t>
      </w:r>
    </w:p>
    <w:p>
      <w:pPr>
        <w:spacing w:after="120"/>
        <w:jc w:val="center"/>
      </w:pPr>
      <w:r>
        <w:rPr>
          <w:b w:val="0"/>
          <w:i/>
          <w:color w:val="555555"/>
          <w:sz w:val="17"/>
        </w:rPr>
        <w:t>CONFIDENTIAL — for internal planning and discussion only. Illustrative projections, not an offer of securities and not investment, legal, or tax advice.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  <w:i w:val="0"/>
          <w:sz w:val="21"/>
        </w:rPr>
        <w:t>GenApep Labs is a physician co-development lab for regenerative aesthetic medicine. Elite, globally competitive Korean aesthetic doctors bring their clinical experience into the lab and co-design purpose-built products — personalised to the physician's clinical case, not the individual patient — powered by CodeLife.AI (our proprietary aesthetic-medicine model), IT-EXO® (immune-tolerant exosomes) and SynExo (synthetic recombinant exosomes), delivered via an applicator device plus physician-personalised treatment kits.</w:t>
      </w:r>
    </w:p>
    <w:p>
      <w:pPr>
        <w:spacing w:after="120"/>
      </w:pPr>
      <w:r>
        <w:rPr>
          <w:b w:val="0"/>
          <w:i w:val="0"/>
          <w:sz w:val="21"/>
        </w:rPr>
        <w:t>The company runs on two co-equal moats: (A) an AI engine + compounding data flywheel — peptides engineered to outperform generalised products, validated by proprietary AI quality/analytics; and (B) a physician co-development engine — elite Korean KOLs, a fast/cheap regulatory 'modification engine' that turns each doctor's request into a registered SKU, and a compliance-first benefit-sharing flywheel in which the inventing physician champions the product to peers. The wedge is razor-and-blades (applicator device + recurring kits, ~$30–35 ex-factory); the long-run vision is a data-science company sitting on a portfolio of doctor-originated SKUs.</w:t>
      </w:r>
    </w:p>
    <w:p>
      <w:pPr>
        <w:spacing w:after="40"/>
      </w:pPr>
      <w:r>
        <w:rPr>
          <w:b/>
          <w:i w:val="0"/>
          <w:sz w:val="21"/>
        </w:rPr>
        <w:t>Why now / why this works.</w:t>
      </w:r>
    </w:p>
    <w:p>
      <w:pPr>
        <w:pStyle w:val="ListBullet"/>
      </w:pPr>
      <w:r>
        <w:rPr>
          <w:b/>
        </w:rPr>
        <w:t>Large, growing market:</w:t>
      </w:r>
      <w:r>
        <w:t xml:space="preserve"> medical aesthetics ≈ $17–18.5B (2024), ~10–13% CAGR → ~$56B by 2033; injectables &gt;40% of revenue. Korea is a global aesthetic hub; Hong Kong a gateway.</w:t>
      </w:r>
    </w:p>
    <w:p>
      <w:pPr>
        <w:pStyle w:val="ListBullet"/>
      </w:pPr>
      <w:r>
        <w:rPr>
          <w:b/>
        </w:rPr>
        <w:t>Regulatory speed:</w:t>
      </w:r>
      <w:r>
        <w:t xml:space="preserve"> a modification engine — minor changes to approved products on Korea's improved-device / negative-list regime and functional-cosmetic/quasi-drug routes (target &lt;3% change, ~3-month cycle, &lt;$30K per SKU). ~6 months → ~20 registered SKUs across KFDA-recognising Asia. (Working assumptions — to be validated.)</w:t>
      </w:r>
    </w:p>
    <w:p>
      <w:pPr>
        <w:pStyle w:val="ListBullet"/>
      </w:pPr>
      <w:r>
        <w:rPr>
          <w:b/>
        </w:rPr>
        <w:t>Doctor-driven flywheel:</w:t>
      </w:r>
      <w:r>
        <w:t xml:space="preserve"> the inventing doctor champions each SKU to peers; benefit-shared as an FMV royalty for genuine IP co-invention, decoupled from the doctor's own usage (K-Sunshine compliant).</w:t>
      </w:r>
    </w:p>
    <w:p>
      <w:pPr>
        <w:pStyle w:val="ListBullet"/>
      </w:pPr>
      <w:r>
        <w:rPr>
          <w:b/>
        </w:rPr>
        <w:t>New category:</w:t>
      </w:r>
      <w:r>
        <w:t xml:space="preserve"> regenerative, doctor-personalised devices/kits sit beside (not replace) HA fillers and botox.</w:t>
      </w:r>
    </w:p>
    <w:p>
      <w:pPr>
        <w:spacing w:after="40"/>
      </w:pPr>
      <w:r>
        <w:rPr>
          <w:b/>
          <w:i w:val="0"/>
          <w:sz w:val="21"/>
        </w:rPr>
        <w:t>Structure &amp; scope.</w:t>
      </w:r>
    </w:p>
    <w:p>
      <w:pPr>
        <w:spacing w:after="120"/>
      </w:pPr>
      <w:r>
        <w:rPr>
          <w:b w:val="0"/>
          <w:i w:val="0"/>
          <w:sz w:val="21"/>
        </w:rPr>
        <w:t>JV — WBI 70% (IP: CodeLife.AI / IT-EXO / SynExo + R&amp;D) and Eyesel 30% (manufacturing). Valued standalone at the ex-factory line; distributors are separate, non-consolidated.</w:t>
      </w:r>
    </w:p>
    <w:p>
      <w:pPr>
        <w:spacing w:after="40"/>
      </w:pPr>
      <w:r>
        <w:rPr>
          <w:b/>
          <w:i w:val="0"/>
          <w:sz w:val="21"/>
        </w:rPr>
        <w:t>Economics &amp; ask.</w:t>
      </w:r>
    </w:p>
    <w:p>
      <w:pPr>
        <w:spacing w:after="120"/>
      </w:pPr>
      <w:r>
        <w:rPr>
          <w:b w:val="0"/>
          <w:i w:val="0"/>
          <w:sz w:val="21"/>
        </w:rPr>
        <w:t>~65% blended gross margin; revenue $5.3M (2027) → $20.3M (2028) → $30.2M (2029) → $39.9M (2030); EBITDA-positive in the launch year. Raising $1.0M to kick off at $5–7M pre-money ($6M midpoint → $1M ≈ 14.3%). The AI/data-platform thesis underpins a premium, institutional-AI Series A in 2028.</w:t>
      </w:r>
    </w:p>
    <w:p>
      <w:pPr>
        <w:pStyle w:val="Heading1"/>
      </w:pPr>
      <w:r>
        <w:t>2. Technology &amp; the AI Moat</w:t>
      </w:r>
    </w:p>
    <w:p>
      <w:pPr>
        <w:spacing w:after="120"/>
      </w:pPr>
      <w:r>
        <w:rPr>
          <w:b w:val="0"/>
          <w:i w:val="0"/>
          <w:sz w:val="21"/>
        </w:rPr>
        <w:t>Three pillars — the AI pillar is the spine; devices and kits are the wedge and the data-capture layer.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Pillar</w:t>
            </w:r>
          </w:p>
        </w:tc>
        <w:tc>
          <w:tcPr>
            <w:tcW w:type="dxa" w:w="6624"/>
          </w:tcPr>
          <w:p>
            <w:r>
              <w:rPr>
                <w:b/>
                <w:sz w:val="19"/>
              </w:rPr>
              <w:t>What it is / why it matters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1 — AI engine &amp; data flywheel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CodeLife.AI designs personalised peptides engineered to OUTPERFORM generalised products (differentiator is performance, not just personalisation). A proprietary AI quality-&amp;-analytics suite validates every batch/variant and improves the model from each treatment — a compounding data flywheel. Built as physician decision-support within a cleared envelope to manage SaMD exposure.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2 — Devices &amp; kits (revenue wedge)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An applicator device placed/sold to clinics (also the data-capture endpoint) plus recurring personalised treatment kits (~$30–35 ex-factory), CodeLife-configured within an approved device family.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3 — Data monetisation (future upside)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Licensing the model/insights, physician outcome analytics, and R&amp;D partnerships — the institutional-AI-investor story. Not in the base P&amp;L.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  <w:sz w:val="19"/>
              </w:rPr>
              <w:t>Core technology</w:t>
            </w:r>
          </w:p>
        </w:tc>
        <w:tc>
          <w:tcPr>
            <w:tcW w:type="dxa" w:w="6912"/>
          </w:tcPr>
          <w:p>
            <w:r>
              <w:rPr>
                <w:b/>
                <w:sz w:val="19"/>
              </w:rPr>
              <w:t>What it is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CodeLife.AI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Proprietary AI platform/model designing peptides &amp; proteins and optimising delivery within an approved envelope; basis of the data-science-company vision.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IT-EXO®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Immune-tolerant layer: surface HLA-G suppresses NK/T-cell attack, so efficacy compounds rather than declines.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SynExo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Synthetic recombinant exosome (salmon-derived) carrying growth-factor/peptide cargo; ~20B particles/mL, 30–150 nm, &gt;95% purity. Proprietary stabilisation (lyophilised) delivers an ambient-/2–8 °C-stable clinic format — no −80 °C cold chain required.</w:t>
            </w:r>
          </w:p>
        </w:tc>
      </w:tr>
    </w:tbl>
    <w:p>
      <w:pPr>
        <w:spacing w:after="40"/>
      </w:pPr>
    </w:p>
    <w:p>
      <w:pPr>
        <w:pStyle w:val="Heading1"/>
      </w:pPr>
      <w:r>
        <w:t>3. Vision — From Devices to a Data-Science Company</w:t>
      </w:r>
    </w:p>
    <w:p>
      <w:pPr>
        <w:spacing w:after="120"/>
      </w:pPr>
      <w:r>
        <w:rPr>
          <w:b w:val="0"/>
          <w:i w:val="0"/>
          <w:sz w:val="21"/>
        </w:rPr>
        <w:t>Devices and kits are the wedge that puts CodeLife into clinics and starts the data flywheel. As personalised treatments and outcomes accumulate, GenApep builds a proprietary aesthetic-medicine dataset and its own large model — the durable, compounding asset. The endpoint is a data-science company in aesthetic medicine: AI-designed, outcome-validated, continuously improving — and fundable by institutional AI investors.</w:t>
      </w:r>
    </w:p>
    <w:p>
      <w:pPr>
        <w:pStyle w:val="Heading1"/>
      </w:pPr>
      <w:r>
        <w:t>4. Regulatory Strategy (Korea → Hong Kong)</w:t>
      </w:r>
    </w:p>
    <w:p>
      <w:pPr>
        <w:pStyle w:val="ListBullet"/>
      </w:pPr>
      <w:r>
        <w:rPr>
          <w:b/>
        </w:rPr>
        <w:t>Korea (MFDS) first —</w:t>
      </w:r>
      <w:r>
        <w:t xml:space="preserve"> register the microneedling/topical applicator + kit as a device family; CodeLife variants register as "modified devices" (same intended use / mechanism / raw materials) on the fast path (Class I ≈ 15 business days; Class II "modified" via conformity bodies; ~3 months realistic).</w:t>
      </w:r>
    </w:p>
    <w:p>
      <w:pPr>
        <w:pStyle w:val="ListBullet"/>
      </w:pPr>
      <w:r>
        <w:rPr>
          <w:b/>
        </w:rPr>
        <w:t>Hong Kong next —</w:t>
      </w:r>
      <w:r>
        <w:t xml:space="preserve"> light, voluntary MDACS listing; move while the voluntary window is open (a statutory framework is coming).</w:t>
      </w:r>
    </w:p>
    <w:p>
      <w:pPr>
        <w:pStyle w:val="ListBullet"/>
      </w:pPr>
      <w:r>
        <w:rPr>
          <w:b/>
        </w:rPr>
        <w:t>Keep the fast path valid —</w:t>
      </w:r>
      <w:r>
        <w:t xml:space="preserve"> personalise via device parameters (delivery, depth, concentration within an approved range, a menu of pre-cleared options), NOT by changing the active molecule, which would break the "same raw materials" test.</w:t>
      </w:r>
    </w:p>
    <w:p>
      <w:pPr>
        <w:pStyle w:val="ListBullet"/>
      </w:pPr>
      <w:r>
        <w:rPr>
          <w:b/>
        </w:rPr>
        <w:t>Two tracks —</w:t>
      </w:r>
      <w:r>
        <w:t xml:space="preserve"> microneedling/topical line carries the device fast-path; the IM injectable line runs on a separate drug/cosmetic pathway (see Risks).</w:t>
      </w:r>
    </w:p>
    <w:p>
      <w:pPr>
        <w:pStyle w:val="Heading1"/>
      </w:pPr>
      <w:r>
        <w:t>5. Go-to-Market</w:t>
      </w:r>
    </w:p>
    <w:p>
      <w:pPr>
        <w:pStyle w:val="ListBullet"/>
      </w:pPr>
      <w:r>
        <w:rPr>
          <w:b/>
        </w:rPr>
        <w:t>Customers —</w:t>
      </w:r>
      <w:r>
        <w:t xml:space="preserve"> aesthetic/derm physicians &amp; clinics — Korea first, then Hong Kong.</w:t>
      </w:r>
    </w:p>
    <w:p>
      <w:pPr>
        <w:pStyle w:val="ListBullet"/>
      </w:pPr>
      <w:r>
        <w:rPr>
          <w:b/>
        </w:rPr>
        <w:t>Model —</w:t>
      </w:r>
      <w:r>
        <w:t xml:space="preserve"> place/sell the applicator device, then earn recurring revenue on personalised kits; CodeLife + outcome data make the relationship sticky.</w:t>
      </w:r>
    </w:p>
    <w:p>
      <w:pPr>
        <w:pStyle w:val="ListBullet"/>
      </w:pPr>
      <w:r>
        <w:rPr>
          <w:b/>
        </w:rPr>
        <w:t>Build —</w:t>
      </w:r>
      <w:r>
        <w:t xml:space="preserve"> a focused clinical/KOL salesforce in two concentrated markets; physician advocates and head-to-head efficacy data drive adoption.</w:t>
      </w:r>
    </w:p>
    <w:p>
      <w:pPr>
        <w:pStyle w:val="Heading1"/>
      </w:pPr>
      <w:r>
        <w:t>6. AI &amp; Data-Science Build Plan &amp; Costs</w:t>
      </w:r>
    </w:p>
    <w:p>
      <w:pPr>
        <w:spacing w:after="120"/>
      </w:pPr>
      <w:r>
        <w:rPr>
          <w:b w:val="0"/>
          <w:i w:val="0"/>
          <w:sz w:val="21"/>
        </w:rPr>
        <w:t>How Pillar 1 (the moat) gets built — and what it costs. All AI/data spend below is a subset of the OpEx "R&amp;D incl. AI" line, not additional.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Window</w:t>
            </w:r>
          </w:p>
        </w:tc>
        <w:tc>
          <w:tcPr>
            <w:tcW w:type="dxa" w:w="5760"/>
          </w:tcPr>
          <w:p>
            <w:r>
              <w:rPr>
                <w:b/>
                <w:sz w:val="19"/>
              </w:rPr>
              <w:t>Deliverables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 — Foundation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2026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Data schema + device-side capture pipeline (consented inputs, settings, images); CodeLife v1 configuration engine within the approved envelope; AI-QA tooling (batch/variant validation, anomaly detection).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 — Data flywheel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2027–28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Live outcome capture from clinics; models linking formulation/device parameters → outcomes; proprietary dataset compounds; physician dashboards (beta).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 — Own large model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2029–30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Train a proprietary aesthetic-medicine model on multimodal data (images + formulations + outcomes); ship physician outcome-analytics products (Pillar 3 upside).</w:t>
            </w:r>
          </w:p>
        </w:tc>
      </w:tr>
    </w:tbl>
    <w:p>
      <w:pPr>
        <w:spacing w:after="40"/>
      </w:pPr>
    </w:p>
    <w:p>
      <w:pPr>
        <w:pStyle w:val="Heading2"/>
      </w:pPr>
      <w:r>
        <w:t>6.1 Team &amp; cost (AI/data subset of OpEx, $000s)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>
              <w:rPr>
                <w:b/>
                <w:sz w:val="19"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AI/data FTE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Personnel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Compute &amp; data ops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Total AI spend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(Total OpEx)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(700)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(2,600)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1,050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1,300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(6,000)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1,600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(8,200)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2,600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(10,000)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Core roles: ML/AI lead (peptide design + model strategy), data/ML engineers, data-platform/MLOps, clinical-data/annotation, regulatory-aware ML (SaMD). Recruit the ML/AI lead and a data engineer first (2026); scale annotation and MLOps as clinic data arrives.</w:t>
      </w:r>
    </w:p>
    <w:p>
      <w:pPr>
        <w:spacing w:after="120"/>
      </w:pPr>
      <w:r>
        <w:rPr>
          <w:b w:val="0"/>
          <w:i w:val="0"/>
          <w:sz w:val="21"/>
        </w:rPr>
        <w:t>Data moat: every CodeLife-configured treatment generates consented inputs, device parameters and (where permitted) outcome data via the applicator device. More treatments → better models → peptides that outperform generalised products → more clinics → more data. The dataset, not the code, is the durable moat — and the line item that turns GenApep from a medtech story (Lens A) into an AI/data-company story (Lens B). Governance: consent, de-identification, Korea/HK data-protection compliance, physician in the loop.</w:t>
      </w:r>
    </w:p>
    <w:p>
      <w:pPr>
        <w:pStyle w:val="Heading1"/>
      </w:pPr>
      <w:r>
        <w:t>7. Financial Model</w:t>
      </w:r>
    </w:p>
    <w:p>
      <w:pPr>
        <w:spacing w:after="120"/>
      </w:pPr>
      <w:r>
        <w:rPr>
          <w:b w:val="0"/>
          <w:i w:val="0"/>
          <w:sz w:val="21"/>
        </w:rPr>
        <w:t>Bottom-up by clinics (~100–125 kits/clinic/month at maturity). Kit unit economics: COGS = 20%×EXW + $4.50 material = $11.00 at $32.50 → GP $21.50, 66.2%. Device ASP $3,000 at 40% GM. All figures USD; illustrative.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Driver</w:t>
            </w:r>
          </w:p>
        </w:tc>
        <w:tc>
          <w:tcPr>
            <w:tcW w:type="dxa" w:w="1296"/>
          </w:tcPr>
          <w:p>
            <w:r>
              <w:rPr>
                <w:b/>
                <w:sz w:val="19"/>
              </w:rPr>
              <w:t>2026 prep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Clinics (cumulative)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150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700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1,000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New clinics (devices sold)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150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Treatment kits (000s)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148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900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1,200</w:t>
            </w:r>
          </w:p>
        </w:tc>
      </w:tr>
    </w:tbl>
    <w:p>
      <w:pPr>
        <w:spacing w:after="40"/>
      </w:pPr>
    </w:p>
    <w:p>
      <w:pPr>
        <w:pStyle w:val="Heading2"/>
      </w:pPr>
      <w:r>
        <w:t>7.1 P&amp;L ($ thousands)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024"/>
          </w:tcPr>
          <w:p>
            <w:r>
              <w:rPr>
                <w:b/>
                <w:sz w:val="19"/>
              </w:rPr>
              <w:t>Line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2026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Kit revenue ($32.50)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4,810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19,500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29,250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39,000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Device revenue ($3k ASP)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450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750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900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900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Total revenue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5,260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20,250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30,150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39,900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Kit gross profit (66.2%)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3,182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12,900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19,350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25,800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Device gross profit (40%)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180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Total gross profit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3,362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13,200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19,710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26,160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Blended gross margin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63.9%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65.2%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65.4%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65.6%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OpEx (sales, reg, R&amp;D incl. AI, G&amp;A)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700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2,600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6,000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10,000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EBITDA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(700)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762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7,200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11,510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16,160</w:t>
            </w:r>
          </w:p>
        </w:tc>
      </w:tr>
    </w:tbl>
    <w:p>
      <w:pPr>
        <w:spacing w:after="40"/>
      </w:pPr>
    </w:p>
    <w:p>
      <w:pPr>
        <w:pStyle w:val="Heading2"/>
      </w:pPr>
      <w:r>
        <w:t>7.2 Scenarios (2029)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Clinics</w:t>
            </w:r>
          </w:p>
        </w:tc>
        <w:tc>
          <w:tcPr>
            <w:tcW w:type="dxa" w:w="1296"/>
          </w:tcPr>
          <w:p>
            <w:r>
              <w:rPr>
                <w:b/>
                <w:sz w:val="19"/>
              </w:rPr>
              <w:t>EXW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Revenue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Gross profit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~500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$30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~$22M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~$14M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700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$32.50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$30.2M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$19.7M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~850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$35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~$38M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~$25M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9"/>
        </w:rPr>
        <w:t>Pillar-3 data monetisation (model/insight licensing, outcome analytics) is excluded from the base P&amp;L and treated as upside.</w:t>
      </w:r>
    </w:p>
    <w:p>
      <w:pPr>
        <w:pStyle w:val="Heading1"/>
      </w:pPr>
      <w:r>
        <w:t>8. Valuation — Two Lenses</w:t>
      </w:r>
    </w:p>
    <w:p>
      <w:pPr>
        <w:spacing w:after="40"/>
      </w:pPr>
      <w:r>
        <w:rPr>
          <w:b/>
          <w:i w:val="0"/>
          <w:sz w:val="21"/>
        </w:rPr>
        <w:t>Lens A — device + consumables business (the floor; sets the kickoff price).</w:t>
      </w:r>
    </w:p>
    <w:p>
      <w:pPr>
        <w:spacing w:after="120"/>
      </w:pPr>
      <w:r>
        <w:rPr>
          <w:b w:val="0"/>
          <w:i w:val="0"/>
          <w:sz w:val="21"/>
        </w:rPr>
        <w:t>Recommend $5–7M pre-money / $6–8M post, $6M midpoint → $1.0M buys ~14.3%. Three methods reconcile: seed convention for an IP-owning JV ($5–7M); DCF (40% discount, 8× EBITDA exit) ≈ $35M un-risk-adjusted EV → ~$5–7M risk-adjusted; forward multiple. Recurring medical consumables + regulatory moat support the upper half and a higher revenue multiple (3–6×).</w:t>
      </w:r>
    </w:p>
    <w:p>
      <w:pPr>
        <w:spacing w:after="40"/>
      </w:pPr>
      <w:r>
        <w:rPr>
          <w:b/>
          <w:i w:val="0"/>
          <w:sz w:val="21"/>
        </w:rPr>
        <w:t>Lens B — AI / data-science company (the prize; attracts institutional AI capital).</w:t>
      </w:r>
    </w:p>
    <w:p>
      <w:pPr>
        <w:spacing w:after="120"/>
      </w:pPr>
      <w:r>
        <w:rPr>
          <w:b w:val="0"/>
          <w:i w:val="0"/>
          <w:sz w:val="21"/>
        </w:rPr>
        <w:t>With a proprietary model, an AI-QA/analytics suite, and a compounding data flywheel, the comparables shift from medtech to AI/data platforms — much higher multiples. This does not change the $1M kickoff price (priced on Lens A) but raises the valuation ceiling and reframes the 2028 Series A as a premium, institutional AI round.</w:t>
      </w:r>
    </w:p>
    <w:p>
      <w:pPr>
        <w:pStyle w:val="Heading2"/>
      </w:pPr>
      <w:r>
        <w:t>8.1 Cap table (post-raise, $6.0M pre-money)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Holder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Contribution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Founder %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% post-raise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WBI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IP (CodeLife.AI/IT-EXO/SynExo) + R&amp;D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70.0%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60.0%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Eyesel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Manufacturing (production, fill-finish, QA)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30.0%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25.7%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Kickoff investor(s)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$1.0M cash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14.3%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100%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9"/>
        </w:rPr>
        <w:t>Recommendation: price the kickoff on Lens A ($6M midpoint); pitch Lens B as the prize and the Series A thesis. Optionally test institutional-AI appetite for a larger round.</w:t>
      </w:r>
    </w:p>
    <w:p>
      <w:pPr>
        <w:pStyle w:val="Heading1"/>
      </w:pPr>
      <w:r>
        <w:t>9. What a Technical Investor Will Challenge (and Our Answer)</w:t>
      </w:r>
    </w:p>
    <w:p>
      <w:pPr>
        <w:spacing w:after="120"/>
      </w:pPr>
      <w:r>
        <w:rPr>
          <w:b w:val="0"/>
          <w:i w:val="0"/>
          <w:sz w:val="21"/>
        </w:rPr>
        <w:t>A chemical-engineer investor entering aesthetics will press these; pre-empting them: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>
              <w:rPr>
                <w:b/>
                <w:sz w:val="19"/>
              </w:rPr>
              <w:t>Challenge</w:t>
            </w:r>
          </w:p>
        </w:tc>
        <w:tc>
          <w:tcPr>
            <w:tcW w:type="dxa" w:w="5616"/>
          </w:tcPr>
          <w:p>
            <w:r>
              <w:rPr>
                <w:b/>
                <w:sz w:val="19"/>
              </w:rPr>
              <w:t>Our answer / action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Cold chain — resolved; substantiate it. Proprietary stabilisation gives an ambient-/2–8 °C format (no −80 °C), a distribution/export advantage. COGS is still top-down with no BOM.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Provide the stability/shelf-life dossier confirming the cold-chain-free format, and publish a bottom-up BOM incl. per-batch QC-release cost; treat early-year margins as lower until scale.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Personalisation vs "same raw materials" is a contradiction — real personalisation changes the active and breaks the device fast-path.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Personalisation lives in a pre-cleared configuration envelope (delivery, depth, concentration range, option menu) — defended as both regulatorily clean and clinically differentiating.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Exosomes are a regulatory/characterisation minefield (Korea ad ban; EU human-exosome ban; US FDA warnings).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Lead with non-human (salmon/synthetic) origin; provide COA/particle/potency/purity/stability/batch data; market on function, not medical claims.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"$25M exposure" is weasel-phrased — it aggregates affiliated entities.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Re-present at entity/product/channel level with reorder data; weight as market signal, not GenApep revenue.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"Own large model" overreaches for a 2→12 FTE team.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Reframe as a structured, consented outcomes dataset + decision-support analytics; moat is data + clinic data-rights clauses.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Clinic ramp is aggressive (0→150 in year one; plan itself calls 150 'upside').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Rebuild the base off anchor-clinic actuals (real kits/clinic/month + reorder cohorts) before scaling capital.</w:t>
            </w:r>
          </w:p>
        </w:tc>
      </w:tr>
    </w:tbl>
    <w:p>
      <w:pPr>
        <w:spacing w:after="40"/>
      </w:pPr>
    </w:p>
    <w:p>
      <w:pPr>
        <w:pStyle w:val="Heading1"/>
      </w:pPr>
      <w:r>
        <w:t>10. International Expansion (KFDA as an Export Springboard)</w:t>
      </w:r>
    </w:p>
    <w:p>
      <w:pPr>
        <w:spacing w:after="120"/>
      </w:pPr>
      <w:r>
        <w:rPr>
          <w:b w:val="0"/>
          <w:i w:val="0"/>
          <w:sz w:val="21"/>
        </w:rPr>
        <w:t>GenApep is not a Korea-only play: a Korean MFDS registration anchors a reliance-led export strategy (full detail in export-strategy.md). Two-speed thesis — the applicator device travels widely on the Korean technical file; the peptide/exosome kit is wrapped per market (cosmetic vs device vs drug), leaning on salmon/synthetic origin and strict claim discipline.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Tier</w:t>
            </w:r>
          </w:p>
        </w:tc>
        <w:tc>
          <w:tcPr>
            <w:tcW w:type="dxa" w:w="6192"/>
          </w:tcPr>
          <w:p>
            <w:r>
              <w:rPr>
                <w:b/>
                <w:sz w:val="19"/>
              </w:rPr>
              <w:t>Markets &amp; KFDA leverage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Tier 1 — ASEAN + Hong Kong (fastest)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Hong Kong MDACS recognises Korea MFDS as a reference regulator (pair Korea + Singapore for the ≥2-reference expedited route); Vietnam accepts MFDS certifications; Singapore HSA is the gateway; one ASEAN AMDD/CSDT dossier cascades to Thailand, Malaysia, Indonesia, Philippines.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Tier 2 — GCC + Greater China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Saudi SFDA (GCC regional reference) + UAE MOHAP; Taiwan TFDA accepts Korean data; China NMPA via Hainan/cross-border first.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Precedent: Korean salmon-PDRN boosters (e.g., Rejuran) exported across SEA/Middle East/Europe off a Korean approval — a near-exact analog. Sequence: Korea anchor → HK/Vietnam/Singapore (2027–28) → ASEAN + GCC (2028–29) → Taiwan/China (2029–30); each market needs a local responsible person/distributor. Cold-chain-free advantage: stabilisation removes the −80 °C dependency, so cross-border distribution is far easier than for typical exosome products. Effect: the clinic ramp becomes a multi-market TAM, strengthening Lens A and the Series A.</w:t>
      </w:r>
    </w:p>
    <w:p>
      <w:pPr>
        <w:pStyle w:val="Heading1"/>
      </w:pPr>
      <w:r>
        <w:t>11. Key Risks</w:t>
      </w:r>
    </w:p>
    <w:p>
      <w:pPr>
        <w:pStyle w:val="ListBullet"/>
      </w:pPr>
      <w:r>
        <w:rPr>
          <w:b/>
        </w:rPr>
        <w:t xml:space="preserve">Device-vs-drug classification (#1) — </w:t>
      </w:r>
      <w:r>
        <w:t>an IM injectable peptide is very likely a drug/biologic, not a device, in Korea and HK. Lead the device fast-path with the microneedling/topical line + applicator system; run the IM/injectable line on a separate track.</w:t>
      </w:r>
    </w:p>
    <w:p>
      <w:pPr>
        <w:pStyle w:val="ListBullet"/>
      </w:pPr>
      <w:r>
        <w:rPr>
          <w:b/>
        </w:rPr>
        <w:t xml:space="preserve">"Same raw materials" constraint — </w:t>
      </w:r>
      <w:r>
        <w:t>personalise via device parameters within an approved envelope; changing the active molecule can break the fast path.</w:t>
      </w:r>
    </w:p>
    <w:p>
      <w:pPr>
        <w:pStyle w:val="ListBullet"/>
      </w:pPr>
      <w:r>
        <w:rPr>
          <w:b/>
        </w:rPr>
        <w:t xml:space="preserve">AI substantiation — </w:t>
      </w:r>
      <w:r>
        <w:t>the "outperforms generalised products" and data-moat claims need head-to-head efficacy evidence and a real ML capability/dataset behind the "own large model."</w:t>
      </w:r>
    </w:p>
    <w:p>
      <w:pPr>
        <w:pStyle w:val="ListBullet"/>
      </w:pPr>
      <w:r>
        <w:rPr>
          <w:b/>
        </w:rPr>
        <w:t xml:space="preserve">SaMD exposure — </w:t>
      </w:r>
      <w:r>
        <w:t>CodeLife may be regulated as Software as a Medical Device; keep the physician in the loop within a cleared envelope.</w:t>
      </w:r>
    </w:p>
    <w:p>
      <w:pPr>
        <w:pStyle w:val="ListBullet"/>
      </w:pPr>
      <w:r>
        <w:rPr>
          <w:b/>
        </w:rPr>
        <w:t xml:space="preserve">Incumbents — </w:t>
      </w:r>
      <w:r>
        <w:t>HA/botox (~$5–6.5B, still growing) are not displaced — position as a new adjacent category.</w:t>
      </w:r>
    </w:p>
    <w:p>
      <w:pPr>
        <w:pStyle w:val="ListBullet"/>
      </w:pPr>
      <w:r>
        <w:rPr>
          <w:b/>
        </w:rPr>
        <w:t xml:space="preserve">Capital adequacy — </w:t>
      </w:r>
      <w:r>
        <w:t>$1M kicks off; multi-market registration + clinical salesforce + AI team likely need a 2028 Series A.</w:t>
      </w:r>
    </w:p>
    <w:p>
      <w:pPr>
        <w:pStyle w:val="Heading1"/>
      </w:pPr>
      <w:r>
        <w:t>12. What Would Make This Investment-Grade</w:t>
      </w:r>
    </w:p>
    <w:p>
      <w:pPr>
        <w:pStyle w:val="ListBullet"/>
      </w:pPr>
      <w:r>
        <w:rPr>
          <w:b/>
        </w:rPr>
        <w:t xml:space="preserve">Confirm the regulatory split </w:t>
      </w:r>
      <w:r>
        <w:t>— microneedling/topical (device fast-path) vs IM injectable (drug).</w:t>
      </w:r>
    </w:p>
    <w:p>
      <w:pPr>
        <w:pStyle w:val="ListBullet"/>
      </w:pPr>
      <w:r>
        <w:rPr>
          <w:b/>
        </w:rPr>
        <w:t xml:space="preserve">Produce head-to-head efficacy data </w:t>
      </w:r>
      <w:r>
        <w:t>(AI-personalised vs generalised) and define the AI/data team and dataset plan behind the "own large model."</w:t>
      </w:r>
    </w:p>
    <w:p>
      <w:pPr>
        <w:pStyle w:val="ListBullet"/>
      </w:pPr>
      <w:r>
        <w:rPr>
          <w:b/>
        </w:rPr>
        <w:t xml:space="preserve">Document the IP-contribution scope </w:t>
      </w:r>
      <w:r>
        <w:t>WBI assigns into the JV.</w:t>
      </w:r>
    </w:p>
    <w:p>
      <w:pPr>
        <w:pStyle w:val="ListBullet"/>
      </w:pPr>
      <w:r>
        <w:rPr>
          <w:b/>
        </w:rPr>
        <w:t xml:space="preserve">Confirm device ASP/GM, clinic ramp, kits/clinic/month; </w:t>
      </w:r>
      <w:r>
        <w:t>name the core team and an anchor-clinic pipeline in Korea/HK.</w:t>
      </w:r>
    </w:p>
    <w:p/>
    <w:p>
      <w:pPr>
        <w:spacing w:after="120"/>
      </w:pPr>
      <w:r>
        <w:rPr>
          <w:b w:val="0"/>
          <w:i/>
          <w:color w:val="555555"/>
          <w:sz w:val="18"/>
        </w:rPr>
        <w:t>Sources — medical aesthetics market: MarketsandMarkets, P&amp;S Intelligence, DataM. Korea MFDS modified-device path: Emergo by UL, ElendiLabs, MedDeviceGuide. Hong Kong MDACS: mdd.gov.hk, Asia Actual. Botox/HA: Future Market Insights, Allied Market Research, Grand View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