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6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Investor Deck — Word version</w:t>
      </w:r>
    </w:p>
    <w:p>
      <w:pPr>
        <w:spacing w:after="40"/>
        <w:jc w:val="center"/>
      </w:pPr>
      <w:r>
        <w:rPr>
          <w:b w:val="0"/>
          <w:i/>
          <w:color w:val="555555"/>
          <w:sz w:val="23"/>
        </w:rPr>
        <w:t>AI-Personalised Aesthetic Medical Devices · Korea-anchored, export-led</w:t>
      </w:r>
    </w:p>
    <w:p>
      <w:pPr>
        <w:spacing w:after="200"/>
        <w:jc w:val="center"/>
      </w:pPr>
      <w:r>
        <w:rPr>
          <w:b w:val="0"/>
          <w:i/>
          <w:color w:val="555555"/>
          <w:sz w:val="18"/>
        </w:rPr>
        <w:t>Illustrative — not investment advice. Figures are v0.4 scenario estimates.</w:t>
      </w:r>
    </w:p>
    <w:p>
      <w:pPr>
        <w:pStyle w:val="Heading1"/>
      </w:pPr>
      <w:r>
        <w:rPr>
          <w:color w:val="2E86C1"/>
        </w:rPr>
        <w:t xml:space="preserve">Slide 2  </w:t>
      </w:r>
      <w:r>
        <w:t>· The opportunity</w:t>
      </w:r>
    </w:p>
    <w:p>
      <w:pPr>
        <w:pStyle w:val="ListBullet"/>
        <w:spacing w:after="60"/>
      </w:pPr>
      <w:r>
        <w:t>Medical aesthetics ≈ $17–18.5B (2024), ~10–13% CAGR → ~$56B by 2033</w:t>
      </w:r>
    </w:p>
    <w:p>
      <w:pPr>
        <w:pStyle w:val="ListBullet"/>
        <w:spacing w:after="60"/>
      </w:pPr>
      <w:r>
        <w:t>Injectables &gt;40% of revenue; Korea a global hub, Hong Kong a gateway</w:t>
      </w:r>
    </w:p>
    <w:p>
      <w:pPr>
        <w:pStyle w:val="ListBullet2"/>
        <w:spacing w:after="60"/>
      </w:pPr>
      <w:r>
        <w:t>Commodity injectables (HA, botox) still grow but commoditise — buyers want differentiated, regenerative, personalised outcomes</w:t>
      </w:r>
    </w:p>
    <w:p>
      <w:pPr>
        <w:pStyle w:val="ListBullet"/>
        <w:spacing w:after="60"/>
      </w:pPr>
      <w:r>
        <w:t>Opening: an AI-personalised, physician-configured regenerative category beside HA/botox</w:t>
      </w:r>
    </w:p>
    <w:p>
      <w:pPr>
        <w:pStyle w:val="Heading1"/>
      </w:pPr>
      <w:r>
        <w:rPr>
          <w:color w:val="2E86C1"/>
        </w:rPr>
        <w:t xml:space="preserve">Slide 3  </w:t>
      </w:r>
      <w:r>
        <w:t>· The solution — device + recurring kits + AI</w:t>
      </w:r>
    </w:p>
    <w:p>
      <w:pPr>
        <w:pStyle w:val="ListBullet"/>
        <w:spacing w:after="60"/>
      </w:pPr>
      <w:r>
        <w:t>Applicator device in clinics + recurring, CodeLife-configured peptide/exosome kits, registered as a medical-device family</w:t>
      </w:r>
    </w:p>
    <w:p>
      <w:pPr>
        <w:pStyle w:val="ListBullet2"/>
        <w:spacing w:after="60"/>
      </w:pPr>
      <w:r>
        <w:t>Personalised by physician purpose within an approved envelope — fast 'modified-device' registration, not bespoke per-patient devices</w:t>
      </w:r>
    </w:p>
    <w:p>
      <w:pPr>
        <w:pStyle w:val="ListBullet"/>
        <w:spacing w:after="60"/>
      </w:pPr>
      <w:r>
        <w:t>Razor-and-blades: device is the wedge and data-capture endpoint; kits are recurring revenue</w:t>
      </w:r>
    </w:p>
    <w:p>
      <w:pPr>
        <w:pStyle w:val="ListBullet2"/>
        <w:spacing w:after="60"/>
      </w:pPr>
      <w:r>
        <w:t>Kit ~$30–35 ex-factory; ~64–67% gross margin; device ASP $3,000</w:t>
      </w:r>
    </w:p>
    <w:p>
      <w:pPr>
        <w:pStyle w:val="Heading1"/>
      </w:pPr>
      <w:r>
        <w:rPr>
          <w:color w:val="2E86C1"/>
        </w:rPr>
        <w:t xml:space="preserve">Slide 4  </w:t>
      </w:r>
      <w:r>
        <w:t>· The moat — AI efficacy + data flywheel</w:t>
      </w:r>
    </w:p>
    <w:p>
      <w:pPr>
        <w:pStyle w:val="ListBullet"/>
        <w:spacing w:after="60"/>
      </w:pPr>
      <w:r>
        <w:t>Differentiator is performance, not merely personalisation: peptides engineered to outperform generalised products</w:t>
      </w:r>
    </w:p>
    <w:p>
      <w:pPr>
        <w:pStyle w:val="ListBullet"/>
        <w:spacing w:after="60"/>
      </w:pPr>
      <w:r>
        <w:t>Proprietary AI-QA/analytics validate every batch and feed continuous improvement</w:t>
      </w:r>
    </w:p>
    <w:p>
      <w:pPr>
        <w:pStyle w:val="ListBullet2"/>
        <w:spacing w:after="60"/>
      </w:pPr>
      <w:r>
        <w:t>Closed loop: inputs/outcomes → better model → better peptides → deeper clinic lock-in</w:t>
      </w:r>
    </w:p>
    <w:p>
      <w:pPr>
        <w:pStyle w:val="ListBullet"/>
        <w:spacing w:after="60"/>
      </w:pPr>
      <w:r>
        <w:t>Vision: a data-science company in aesthetic medicine — devices/kits are the data layer</w:t>
      </w:r>
    </w:p>
    <w:p>
      <w:pPr>
        <w:pStyle w:val="ListBullet2"/>
        <w:spacing w:after="60"/>
      </w:pPr>
      <w:r>
        <w:t>Honest framing: day-one asset is the consented dataset + data-rights + analytics, not a foundation model</w:t>
      </w:r>
    </w:p>
    <w:p>
      <w:pPr>
        <w:pStyle w:val="Heading1"/>
      </w:pPr>
      <w:r>
        <w:rPr>
          <w:color w:val="2E86C1"/>
        </w:rPr>
        <w:t xml:space="preserve">Slide 5  </w:t>
      </w:r>
      <w:r>
        <w:t>· Same product, more markets</w:t>
      </w:r>
    </w:p>
    <w:p>
      <w:pPr>
        <w:pStyle w:val="ListBullet"/>
        <w:spacing w:after="60"/>
      </w:pPr>
      <w:r>
        <w:rPr>
          <w:b/>
        </w:rPr>
        <w:t xml:space="preserve">One product family — </w:t>
      </w:r>
      <w:r>
        <w:t>the Korean-developed device + CodeLife kit is exported as-is</w:t>
      </w:r>
    </w:p>
    <w:p>
      <w:pPr>
        <w:pStyle w:val="ListBullet"/>
        <w:spacing w:after="60"/>
      </w:pPr>
      <w:r>
        <w:rPr>
          <w:b/>
        </w:rPr>
        <w:t xml:space="preserve">No per-market R&amp;D — </w:t>
      </w:r>
      <w:r>
        <w:t>personalisation is by physician purpose within the same approved envelope</w:t>
      </w:r>
    </w:p>
    <w:p>
      <w:pPr>
        <w:pStyle w:val="ListBullet"/>
        <w:spacing w:after="60"/>
      </w:pPr>
      <w:r>
        <w:rPr>
          <w:b/>
        </w:rPr>
        <w:t xml:space="preserve">Identical unit economics everywhere — </w:t>
      </w:r>
      <w:r>
        <w:t>the only variables are clinic base and timing</w:t>
      </w:r>
    </w:p>
    <w:p>
      <w:pPr>
        <w:pStyle w:val="ListBullet"/>
        <w:spacing w:after="60"/>
      </w:pPr>
      <w:r>
        <w:rPr>
          <w:b/>
        </w:rPr>
        <w:t xml:space="preserve">Scale + data benefits — </w:t>
      </w:r>
      <w:r>
        <w:t>one production/QC/stability spec; one comparable global dataset</w:t>
      </w:r>
    </w:p>
    <w:p>
      <w:pPr>
        <w:pStyle w:val="ListBullet"/>
        <w:spacing w:after="60"/>
      </w:pPr>
      <w:r>
        <w:rPr>
          <w:b/>
        </w:rPr>
        <w:t xml:space="preserve">Regulatory — </w:t>
      </w:r>
      <w:r>
        <w:t>the Korean technical file is the master dossier for every reliance filing</w:t>
      </w:r>
    </w:p>
    <w:p>
      <w:pPr>
        <w:pStyle w:val="Heading1"/>
      </w:pPr>
      <w:r>
        <w:rPr>
          <w:color w:val="2E86C1"/>
        </w:rPr>
        <w:t xml:space="preserve">Slide 6  </w:t>
      </w:r>
      <w:r>
        <w:t>· Regulatory strategy (Korea → Hong Kong → export)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Product line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Pathway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Speed / note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Microneedling/topical kit + applicator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Korea MFDS modified-device; HK MDACS listing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Fast (~months) — the lead family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IM / injectable peptide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Drug/biologic (separate) or cosmetic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Slower — doesn't gate launch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CodeLife software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Config/decision-support in cleared envelope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Manages SaMD exposure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7  </w:t>
      </w:r>
      <w:r>
        <w:t>· Export springboard — KFDA reliance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Markets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KFDA leverage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Tier 1: ASEAN + Hong Kong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HK, Vietnam, Singapore → Thailand, Malaysia, Indonesia, Philippines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MDACS reference; VN accepts MFDS; ASEAN CSDT cascade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Tier 2: GCC + Greater China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Saudi, UAE; Taiwan; China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SFDA regional reference; TFDA uses Korean data; China via Hainan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8  </w:t>
      </w:r>
      <w:r>
        <w:t>· Multi-market revenue — 3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$M (2030)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Upside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$35.0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$75.1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$112.2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EBITDA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$10.3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$55.5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Clinics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1,167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2,626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Revenue trajectory ($M): Conservative 2/8/19/35; Base 4/16/40/75; Upside 6/24/60/112  (years 2027/2028/2029/2030)</w:t>
      </w:r>
    </w:p>
    <w:p>
      <w:pPr>
        <w:pStyle w:val="Heading1"/>
      </w:pPr>
      <w:r>
        <w:rPr>
          <w:color w:val="2E86C1"/>
        </w:rPr>
        <w:t xml:space="preserve">Slide 9  </w:t>
      </w:r>
      <w:r>
        <w:t>· Scenario assumptions (product unchanged)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>
              <w:rPr>
                <w:b/>
                <w:sz w:val="20"/>
              </w:rPr>
              <w:t>Lever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Upside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Markets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11 (China excl.)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Clinic ramp vs base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0.62x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1.00x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1.30x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Kit EXW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$30.00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$35.00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Kit gross margin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67%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Device GM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42%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Kits/clinic/yr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1,200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1,500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10  </w:t>
      </w:r>
      <w:r>
        <w:t>· Valuation — two lenses</w:t>
      </w:r>
    </w:p>
    <w:p>
      <w:pPr>
        <w:pStyle w:val="ListBullet"/>
        <w:spacing w:after="60"/>
      </w:pPr>
      <w:r>
        <w:rPr>
          <w:b/>
        </w:rPr>
        <w:t xml:space="preserve">Lens A (priced today) — </w:t>
      </w:r>
      <w:r>
        <w:t>device/consumables floor: $5–7M pre; $6M midpoint for the $1M kickoff</w:t>
      </w:r>
    </w:p>
    <w:p>
      <w:pPr>
        <w:pStyle w:val="ListBullet"/>
        <w:spacing w:after="60"/>
      </w:pPr>
      <w:r>
        <w:rPr>
          <w:b/>
        </w:rPr>
        <w:t xml:space="preserve">Lens B (upside) — </w:t>
      </w:r>
      <w:r>
        <w:t>AI/data-science company: medtech → AI multiples; premium Series A in 2028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Holder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Post-raise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WBI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60.0%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Eyesel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25.7%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Investor (SAFE)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14.3%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11  </w:t>
      </w:r>
      <w:r>
        <w:t>· The ask — milestone-gated SAFE</w:t>
      </w:r>
    </w:p>
    <w:p>
      <w:pPr>
        <w:pStyle w:val="ListBullet"/>
        <w:spacing w:after="60"/>
      </w:pPr>
      <w:r>
        <w:t>US$1.0M kickoff — post-money SAFE, $6.0M cap, 20% discount, MFN</w:t>
      </w:r>
    </w:p>
    <w:p>
      <w:pPr>
        <w:pStyle w:val="ListBullet2"/>
        <w:spacing w:after="60"/>
      </w:pPr>
      <w:r>
        <w:t>Two tranches: $400k at close · $600k on milestones</w:t>
      </w:r>
    </w:p>
    <w:p>
      <w:pPr>
        <w:pStyle w:val="ListBullet"/>
        <w:spacing w:after="60"/>
      </w:pPr>
      <w:r>
        <w:t>Conditions precedent: WBI IP into the JV; verify the $25M sample; clinic data-rights clause</w:t>
      </w:r>
    </w:p>
    <w:p>
      <w:pPr>
        <w:pStyle w:val="ListBullet"/>
        <w:spacing w:after="60"/>
      </w:pPr>
      <w:r>
        <w:t>Milestones: stability dossier + COGS BOM; 5–10 anchor clinics w/ reorders; one prospective readout; classification memo</w:t>
      </w:r>
    </w:p>
    <w:p>
      <w:pPr>
        <w:pStyle w:val="ListBullet"/>
        <w:spacing w:after="60"/>
      </w:pPr>
      <w:r>
        <w:t>Use of funds: Korea launch + Wave-1 export (HK/Vietnam/Singapore); CodeLife v1; QC/stability</w:t>
      </w:r>
    </w:p>
    <w:p>
      <w:pPr>
        <w:pStyle w:val="Heading1"/>
      </w:pPr>
      <w:r>
        <w:rPr>
          <w:color w:val="2E86C1"/>
        </w:rPr>
        <w:t xml:space="preserve">Slide 12  </w:t>
      </w:r>
      <w:r>
        <w:t>· What we will prove (diligence-ready)</w:t>
      </w:r>
    </w:p>
    <w:p>
      <w:pPr>
        <w:pStyle w:val="ListBullet"/>
        <w:spacing w:after="60"/>
      </w:pPr>
      <w:r>
        <w:rPr>
          <w:b/>
        </w:rPr>
        <w:t xml:space="preserve">Cold-chain-free: </w:t>
      </w:r>
      <w:r>
        <w:t>stabilisation removes the −80 °C dependency; document the shelf-life dossier + bottom-up COGS BOM</w:t>
      </w:r>
    </w:p>
    <w:p>
      <w:pPr>
        <w:pStyle w:val="ListBullet"/>
        <w:spacing w:after="60"/>
      </w:pPr>
      <w:r>
        <w:rPr>
          <w:b/>
        </w:rPr>
        <w:t xml:space="preserve">Validation pack: </w:t>
      </w:r>
      <w:r>
        <w:t>the $25M at entity/product/channel level + reorder cohorts</w:t>
      </w:r>
    </w:p>
    <w:p>
      <w:pPr>
        <w:pStyle w:val="ListBullet"/>
        <w:spacing w:after="60"/>
      </w:pPr>
      <w:r>
        <w:rPr>
          <w:b/>
        </w:rPr>
        <w:t xml:space="preserve">Formulation envelope: </w:t>
      </w:r>
      <w:r>
        <w:t>clean AND clinically differentiating within the approved family</w:t>
      </w:r>
    </w:p>
    <w:p>
      <w:pPr>
        <w:pStyle w:val="ListBullet"/>
        <w:spacing w:after="60"/>
      </w:pPr>
      <w:r>
        <w:rPr>
          <w:b/>
        </w:rPr>
        <w:t xml:space="preserve">Exosome discipline: </w:t>
      </w:r>
      <w:r>
        <w:t>non-human (salmon/synthetic) origin; function-based claims</w:t>
      </w:r>
    </w:p>
    <w:p>
      <w:pPr>
        <w:pStyle w:val="ListBullet"/>
        <w:spacing w:after="60"/>
      </w:pPr>
      <w:r>
        <w:rPr>
          <w:b/>
        </w:rPr>
        <w:t xml:space="preserve">Data moat: </w:t>
      </w:r>
      <w:r>
        <w:t>CodeLife v1 demo + data-rights in the clinic contract</w:t>
      </w:r>
    </w:p>
    <w:p>
      <w:pPr>
        <w:pStyle w:val="Heading1"/>
      </w:pPr>
      <w:r>
        <w:rPr>
          <w:color w:val="2E86C1"/>
        </w:rPr>
        <w:t xml:space="preserve">Slide 13  </w:t>
      </w:r>
      <w:r>
        <w:t>·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888"/>
          </w:tcPr>
          <w:p>
            <w:r>
              <w:rPr>
                <w:b/>
                <w:sz w:val="20"/>
              </w:rPr>
              <w:t>Markets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Milestones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2027 — Anchor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Korea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Registration; anchor clinics; CodeLife v1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2027–28 — Wave 1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Hong Kong, Vietnam, Singapore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Reliance filings; reorder evidence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2028–29 — Wave 2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Thailand, Malaysia, Indonesia, Philippines; Saudi, UAE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ASEAN CSDT cascade; SFDA; Series A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2029–30 — Wave 3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Taiwan, China (Hainan→NMPA)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Greater-China entry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2E86C1"/>
        </w:rPr>
        <w:t xml:space="preserve">Slide 14  </w:t>
      </w:r>
      <w:r>
        <w:t>· Closing</w:t>
      </w:r>
    </w:p>
    <w:p>
      <w:pPr>
        <w:spacing w:after="80"/>
      </w:pPr>
      <w:r>
        <w:rPr>
          <w:b/>
          <w:i w:val="0"/>
          <w:color w:val="1F3A5F"/>
          <w:sz w:val="32"/>
        </w:rPr>
        <w:t>Same product. More markets. A data moat.</w:t>
      </w:r>
    </w:p>
    <w:p>
      <w:pPr>
        <w:spacing w:after="120"/>
      </w:pPr>
      <w:r>
        <w:rPr>
          <w:b w:val="0"/>
          <w:i w:val="0"/>
          <w:color w:val="555555"/>
          <w:sz w:val="24"/>
        </w:rPr>
        <w:t>Base case ~$75M revenue / ~$33M EBITDA by 2030 across 12 markets on one Korean-developed product. $1M milestone-gated kickoff.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