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F3A5F"/>
          <w:sz w:val="52"/>
        </w:rPr>
        <w:t>GENAPEP</w:t>
      </w:r>
    </w:p>
    <w:p>
      <w:pPr>
        <w:spacing w:after="40"/>
        <w:jc w:val="center"/>
      </w:pPr>
      <w:r>
        <w:rPr>
          <w:b w:val="0"/>
          <w:i w:val="0"/>
          <w:color w:val="555555"/>
          <w:sz w:val="30"/>
        </w:rPr>
        <w:t>Indicative Term Sheet — Milestone-Gated SAFE</w:t>
      </w:r>
    </w:p>
    <w:p>
      <w:pPr>
        <w:spacing w:after="280"/>
        <w:jc w:val="center"/>
      </w:pPr>
      <w:r>
        <w:rPr>
          <w:b w:val="0"/>
          <w:i/>
          <w:color w:val="555555"/>
          <w:sz w:val="18"/>
        </w:rPr>
        <w:t>NON-BINDING; for discussion only. Not an offer of securities or legal/tax/investment advice.</w:t>
      </w:r>
    </w:p>
    <w:p>
      <w:pPr>
        <w:spacing w:after="120"/>
      </w:pPr>
      <w:r>
        <w:rPr>
          <w:b w:val="0"/>
          <w:i/>
          <w:sz w:val="19"/>
        </w:rPr>
        <w:t>Except for No-Shop and Confidentiality (binding when countersigned), no obligation arises until definitive documents are signed. Figures illustrative, consistent with the v0.4 financials.</w:t>
      </w:r>
    </w:p>
    <w:p>
      <w:pPr>
        <w:pStyle w:val="Heading2"/>
      </w:pPr>
      <w:r>
        <w:t>1. Headline terms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  <w:sz w:val="19"/>
              </w:rPr>
              <w:t>Term</w:t>
            </w:r>
          </w:p>
        </w:tc>
        <w:tc>
          <w:tcPr>
            <w:tcW w:type="dxa" w:w="6912"/>
          </w:tcPr>
          <w:p>
            <w:r>
              <w:rPr>
                <w:b/>
                <w:sz w:val="19"/>
              </w:rPr>
              <w:t>Proposed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Company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GenApep (JV — WBI 70% / Eyesel 30%; IP-owning entity)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Investor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[Lead investor / SPV]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Instrument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Post-money SAFE (YC post-money form, modified for milestone tranches)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Total amount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US$1,000,000, funded in two tranches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Valuation cap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US$6,000,000 post-money (range $5–6M; $6M if validation pack complete at close)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Discount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20% to the next priced round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MFN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Yes — best terms granted to any other SAFE in this round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Conversion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Converts to preferred at the next Qualified Financing (priced round ≥ US$3,000,000), better of cap or discount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Pro-rata rights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Yes — maintain ownership % in the Series A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Information rights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Quarterly management accounts, annual budget, cap table on request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Governance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Board observer while the SAFE is outstanding (no board control)</w:t>
            </w:r>
          </w:p>
        </w:tc>
      </w:tr>
    </w:tbl>
    <w:p>
      <w:pPr>
        <w:spacing w:after="40"/>
      </w:pPr>
    </w:p>
    <w:p>
      <w:pPr>
        <w:pStyle w:val="Heading2"/>
      </w:pPr>
      <w:r>
        <w:t>2. Tranche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>
              <w:rPr>
                <w:b/>
                <w:sz w:val="19"/>
              </w:rPr>
              <w:t>Tranche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Amount</w:t>
            </w:r>
          </w:p>
        </w:tc>
        <w:tc>
          <w:tcPr>
            <w:tcW w:type="dxa" w:w="5328"/>
          </w:tcPr>
          <w:p>
            <w:r>
              <w:rPr>
                <w:b/>
                <w:sz w:val="19"/>
              </w:rPr>
              <w:t>Release trigger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Tranche 1 — Close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US$400,000</w:t>
            </w:r>
          </w:p>
        </w:tc>
        <w:tc>
          <w:tcPr>
            <w:tcW w:type="dxa" w:w="5328"/>
          </w:tcPr>
          <w:p>
            <w:r>
              <w:rPr>
                <w:sz w:val="19"/>
              </w:rPr>
              <w:t>On signing + satisfaction of Conditions Precedent (§3)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Tranche 2 — Milestone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US$600,000</w:t>
            </w:r>
          </w:p>
        </w:tc>
        <w:tc>
          <w:tcPr>
            <w:tcW w:type="dxa" w:w="5328"/>
          </w:tcPr>
          <w:p>
            <w:r>
              <w:rPr>
                <w:sz w:val="19"/>
              </w:rPr>
              <w:t>On Investor's written confirmation Milestones (§4) met, within 12 months of close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9"/>
        </w:rPr>
        <w:t>If Milestones are not met within 12 months, Tranche 2 is at the Investor's discretion or renegotiated. Both tranches share the same cap/discount.</w:t>
      </w:r>
    </w:p>
    <w:p>
      <w:pPr>
        <w:pStyle w:val="Heading2"/>
      </w:pPr>
      <w:r>
        <w:t>3. Conditions precedent (before Tranche 1)</w:t>
      </w:r>
    </w:p>
    <w:p>
      <w:pPr>
        <w:pStyle w:val="ListBullet"/>
      </w:pPr>
      <w:r>
        <w:rPr>
          <w:b/>
        </w:rPr>
        <w:t>IP into the JV —</w:t>
      </w:r>
      <w:r>
        <w:t xml:space="preserve"> executed assignment or exclusive license of WBI IP (CodeLife.AI, IT-EXO®, SynExo, know-how, patents/trademarks) into GenApep, with a contribution schedule.</w:t>
      </w:r>
    </w:p>
    <w:p>
      <w:pPr>
        <w:pStyle w:val="ListBullet"/>
      </w:pPr>
      <w:r>
        <w:rPr>
          <w:b/>
        </w:rPr>
        <w:t>Commercial verification —</w:t>
      </w:r>
      <w:r>
        <w:t xml:space="preserve"> independent verification of a representative sample of the "US$25M+" sales at entity/product/channel level.</w:t>
      </w:r>
    </w:p>
    <w:p>
      <w:pPr>
        <w:pStyle w:val="ListBullet"/>
      </w:pPr>
      <w:r>
        <w:rPr>
          <w:b/>
        </w:rPr>
        <w:t>Data rights —</w:t>
      </w:r>
      <w:r>
        <w:t xml:space="preserve"> a clinic-contract template embedding consent, de-identification and GenApep data-ownership/usage rights.</w:t>
      </w:r>
    </w:p>
    <w:p>
      <w:pPr>
        <w:pStyle w:val="ListBullet"/>
      </w:pPr>
      <w:r>
        <w:rPr>
          <w:b/>
        </w:rPr>
        <w:t>Corporate —</w:t>
      </w:r>
      <w:r>
        <w:t xml:space="preserve"> clean cap table, JV agreement, good standing, customary reps &amp; warranties.</w:t>
      </w:r>
    </w:p>
    <w:p>
      <w:pPr>
        <w:pStyle w:val="Heading2"/>
      </w:pPr>
      <w:r>
        <w:t>4. Milestones (release Tranche 2)</w:t>
      </w:r>
    </w:p>
    <w:p>
      <w:pPr>
        <w:pStyle w:val="ListBullet"/>
      </w:pPr>
      <w:r>
        <w:rPr>
          <w:b/>
        </w:rPr>
        <w:t>Stability dossier + COGS —</w:t>
      </w:r>
      <w:r>
        <w:t xml:space="preserve"> the stability/shelf-life dossier confirming the cold-chain-free (ambient/2–8 °C, lyophilised) clinic format and batch reproducibility, plus a bottom-up COGS BOM with per-batch QC-release costs.</w:t>
      </w:r>
    </w:p>
    <w:p>
      <w:pPr>
        <w:pStyle w:val="ListBullet"/>
      </w:pPr>
      <w:r>
        <w:rPr>
          <w:b/>
        </w:rPr>
        <w:t>Anchor clinics —</w:t>
      </w:r>
      <w:r>
        <w:t xml:space="preserve"> 5–10 anchor clinics live with documented kits/clinic/month and reorder evidence.</w:t>
      </w:r>
    </w:p>
    <w:p>
      <w:pPr>
        <w:pStyle w:val="ListBullet"/>
      </w:pPr>
      <w:r>
        <w:rPr>
          <w:b/>
        </w:rPr>
        <w:t>Clinical readout —</w:t>
      </w:r>
      <w:r>
        <w:t xml:space="preserve"> one prospective GenApep protocol readout on the chosen beachhead indication.</w:t>
      </w:r>
    </w:p>
    <w:p>
      <w:pPr>
        <w:pStyle w:val="ListBullet"/>
      </w:pPr>
      <w:r>
        <w:rPr>
          <w:b/>
        </w:rPr>
        <w:t>Regulatory —</w:t>
      </w:r>
      <w:r>
        <w:t xml:space="preserve"> a classification memo (Korea + first export market) confirming the topical/microneedling device path holds for the personalisation envelope; IM/injectable on a separate pathway.</w:t>
      </w:r>
    </w:p>
    <w:p>
      <w:pPr>
        <w:pStyle w:val="Heading2"/>
      </w:pPr>
      <w:r>
        <w:t>5. Use of funds (tied to milestones)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Bucket</w:t>
            </w:r>
          </w:p>
        </w:tc>
        <w:tc>
          <w:tcPr>
            <w:tcW w:type="dxa" w:w="6624"/>
          </w:tcPr>
          <w:p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Regulatory &amp; legal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Korea/HK + first-export classification memo; JV/IP documentation; claims review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Clinical / KOL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Anchor-clinic protocol, prospective beachhead study, testimony dossier, safety monitoring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Manufacturing / chemistry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Stabilisation/stability validation (cold-chain-free), COGS BOM, QA/release validation, initial inventory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AI / data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CodeLife.AI v1, consent workflow, device-side capture, QA analytics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Launch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KOL education, clinic onboarding, first-export distributor readiness</w:t>
            </w:r>
          </w:p>
        </w:tc>
      </w:tr>
    </w:tbl>
    <w:p>
      <w:pPr>
        <w:spacing w:after="40"/>
      </w:pPr>
    </w:p>
    <w:p>
      <w:pPr>
        <w:pStyle w:val="Heading2"/>
      </w:pPr>
      <w:r>
        <w:t>6. Market / kit-classification risk (export note)</w:t>
      </w:r>
    </w:p>
    <w:p>
      <w:pPr>
        <w:spacing w:after="120"/>
      </w:pPr>
      <w:r>
        <w:rPr>
          <w:b w:val="0"/>
          <w:i w:val="0"/>
          <w:sz w:val="21"/>
        </w:rPr>
        <w:t>KFDA registration anchors export via reliance (Hong Kong MDACS reference, Vietnam, ASEAN cascade, GCC/SFDA). However the treatment-kit's classification varies by market (cosmetic vs device vs drug) and exosome claims are restricted (Korea ad ban; EU human-exosome ban; US FDA warnings). Investor relies on Company maintaining claim discipline and using salmon/synthetic (non-human) origin where it eases classification; a per-market regulatory map is a Tranche-2 expectation.</w:t>
      </w:r>
    </w:p>
    <w:p>
      <w:pPr>
        <w:pStyle w:val="Heading2"/>
      </w:pPr>
      <w:r>
        <w:t>7. Other terms</w:t>
      </w:r>
    </w:p>
    <w:p>
      <w:pPr>
        <w:pStyle w:val="ListBullet"/>
      </w:pPr>
      <w:r>
        <w:rPr>
          <w:b/>
        </w:rPr>
        <w:t>No-Shop —</w:t>
      </w:r>
      <w:r>
        <w:t xml:space="preserve"> 45 days exclusivity from countersignature (binding).</w:t>
      </w:r>
    </w:p>
    <w:p>
      <w:pPr>
        <w:pStyle w:val="ListBullet"/>
      </w:pPr>
      <w:r>
        <w:rPr>
          <w:b/>
        </w:rPr>
        <w:t>Confidentiality —</w:t>
      </w:r>
      <w:r>
        <w:t xml:space="preserve"> binding; mutual.</w:t>
      </w:r>
    </w:p>
    <w:p>
      <w:pPr>
        <w:pStyle w:val="ListBullet"/>
      </w:pPr>
      <w:r>
        <w:rPr>
          <w:b/>
        </w:rPr>
        <w:t>Expenses —</w:t>
      </w:r>
      <w:r>
        <w:t xml:space="preserve"> each party bears its own (or capped reimbursement at Investor's option).</w:t>
      </w:r>
    </w:p>
    <w:p>
      <w:pPr>
        <w:pStyle w:val="ListBullet"/>
      </w:pPr>
      <w:r>
        <w:rPr>
          <w:b/>
        </w:rPr>
        <w:t>Expiry —</w:t>
      </w:r>
      <w:r>
        <w:t xml:space="preserve"> lapses if not accepted within [14] days.</w:t>
      </w:r>
    </w:p>
    <w:p>
      <w:pPr>
        <w:spacing w:after="120"/>
      </w:pPr>
      <w:r>
        <w:rPr>
          <w:b w:val="0"/>
          <w:i/>
          <w:color w:val="555555"/>
          <w:sz w:val="18"/>
        </w:rPr>
        <w:t>Prepared as a planning artifact reflecting the independent technical-investor evaluation. Final terms subject to definitive documentation and the Company's counsel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