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274</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274</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70</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75</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76</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77</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78</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83</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94</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97</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98</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98</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101</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101</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101</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102</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107</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111</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112</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112</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114</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115</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116</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116</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117</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118</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118</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119</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119</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121</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124</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124</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124</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125</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125</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128</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129</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130</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132</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133</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133</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133</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134</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134</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135</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136</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136</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144</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147</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147</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147</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148</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148</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148</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148</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149</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149</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149</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150</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151</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151</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152</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153</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154</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154</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155</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155</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155</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156</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156</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162</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165</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165</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165</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167</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177</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179</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180</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181</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182</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183</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185</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186</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186</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187</w:t>
      </w:r>
    </w:p>
    <w:p>
      <w:pPr>
        <w:pStyle w:val="TOC1"/>
        <w:keepNext w:val="0"/>
        <w:keepLines/>
        <w:tabs>
          <w:tab w:pos="8496" w:val="right" w:leader="dot"/>
        </w:tabs>
        <w:spacing w:before="0" w:after="80" w:line="276" w:lineRule="auto"/>
        <w:ind w:right="374"/>
      </w:pPr>
      <w:r>
        <w:rPr>
          <w:rFonts w:ascii="Times New Roman" w:hAnsi="Times New Roman"/>
          <w:sz w:val="22"/>
        </w:rPr>
        <w:t>References</w:t>
        <w:tab/>
        <w:t>190</w:t>
      </w:r>
    </w:p>
    <w:p>
      <w:pPr>
        <w:pStyle w:val="TOC1"/>
        <w:keepNext w:val="0"/>
        <w:keepLines/>
        <w:tabs>
          <w:tab w:pos="8496" w:val="right" w:leader="dot"/>
        </w:tabs>
        <w:spacing w:before="0" w:after="80" w:line="276" w:lineRule="auto"/>
        <w:ind w:right="374"/>
      </w:pPr>
      <w:r>
        <w:rPr>
          <w:rFonts w:ascii="Times New Roman" w:hAnsi="Times New Roman"/>
          <w:sz w:val="22"/>
        </w:rPr>
        <w:t>Appendices</w:t>
        <w:tab/>
        <w:t>274</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199</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199</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200</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201</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202</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204</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204</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205</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206</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206</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207</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208</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210</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218</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222</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222</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224</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226</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229</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233</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241</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243</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 as specified</w:t>
        <w:tab/>
        <w:t>75</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82</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90</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98</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110</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111</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114</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130</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139</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143</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185</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200</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229</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238</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239</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67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87</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92</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107</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108</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109</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117</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119</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127</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129</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132</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144</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168</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174</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184</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223</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224</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227</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231</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235</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235</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236</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237</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238</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239</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240</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a request for such a determination is being made through the Principal Investigator, and the thesis will report the Committee's determination when it is received.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Configurations compared across Stages 2 and 3."/>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(foot pad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on the game side: they turn the weight shifts that the FRA510S footplate measures beneath the foot pad into a gameplay surface in which the same movements are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did not read the InBody COP stream. The FRA510S exposes no application programming interface, and the attempt to integrate the developed and tested game with it failed on that point; the deployed arrangement was therefore physical rather than data-level. A USB foot pad was placed on top of the FRA510S footplate; the player's weight shifts moved both surfaces at once, the foot pad driving the skiing game and the footplate driving the InBody FRA measurement, and each system recorded its own data set (author's account, 3 October 2026). The first version of the Stage-2 build had been tested by keyboard before the foot pad was adopted. The 'after' FRA index reported in §5.5 is accordingly the InBody FRA software's own measurement, not a value computed by the game, and the game did not read or interpret it. The foot pad's make and model, and the effect of its resting on the footplate on the load-cell reading during play, are not on record.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played at the InBody pressure-panel station. The game was developed in Pygame; its build generations engineered from 2025 onward used Anthropic Claude Code as the engineering assistant (§5.3.9), and its automatic difficulty-adjustment subsystem is specified as LangChain orchestration over a large-language-model endpoint (the prompt template of the August 2024 browser prototype is deposited as Appendix G, item G.7; the model version and run-time settings of the deployed Stage-2 build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USB foot pad placed on top of the footplate, which translated lateral weight shifts into left/right movement of the on-screen skier and forward/backward shifts into trail scrolling speed; the FRA510S exposes no application programming interface, so the game never read the panel's COP stream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weight shifts read through the foot pad placed on the InBody footplate (by keyboard in the first tested version);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specified as the InBody pressure panel with a stream of COP coordinates as output; in the deployed Stage-2 build it was a USB foot pad placed on the footplate, because the FRA510S exposes no application programming interface (§5.2A). Layer 1 (Game Engine) is the Pygame skiing task; it consumes the input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COP traces,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computes pre/post FRA indices from the COP stream for clinician review, as specified; in the deployed Stage-2 configuration the recorded index was produced by the InBody FRA software running in parallel from the same footplate, not by the game (§5.2A).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Five-layer architecture of the gamified FRA system as specified."/>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as specified; in the deployed Stage-2 build no data passed between the game and the InBody system, and the clinical index was read by the therapist from the InBody terminal (§5.2A). The data movement between layers is described in §5.3.4. As specified,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or AI-call log is deposited, that the prompt archive (item G.7) holds the August 2024 prototype's template rather than the deployed build's,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 The August 2024 browser prototype's specification (Appendix G, item G.7) carries that prototype's own worked example on a comparable synthetic 72-year-old profile, with the prompt that produced its analysis.</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a browser prototype in Three.js, with a pre-game ability form, deterministic difficulty formulas and a server-side large-language-model analysis module, is documented by its specification of 29 August 2024 and a code print of 30 August 2024 (Appendix G, items G.0A and G.7), the same week as the input-coupling demonstration of item G.10. </w:t>
      </w:r>
      <w:r>
        <w:rPr/>
        <w:t>Per-generation development dates and tooling are stated in the build-lineage matrix (Appendix G, item G.0A); the Claude Code account in this section applies only to the generations engineered from 2025 onward, and no tooling claim is made for any earlier generation beyond the dated 2024 demonstration recorded in item G.10.</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by the author's count, between the first runnable prototype and the version deployed in Stage 2; this count is author-reported and is not verified by any repository artifact, since no Stage-2 build file is deposited (Appendix G, item G.0A).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Two methodological points follow from this development pattern. First, the use of Claude Code did not change the engineering content of the system. The five-layer architecture, the dual-purpose mechanic, the weight-shift-to-control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Proposed dynamic game-state architecture for the FRA skiing gam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as specified, the InBody pressure-panel sensor stream (calibrated by InBody engineers; COP sampled at vendor-default rate). As deployed in Stage 2, a USB foot pad placed on top of the FRA510S footplate and read by the game; the footplate drove the InBody FRA software in parallel, with no application programming interface between the two (§5.2A); the first version was tested by keyboard.</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(the August 2024 prototype's prompt template and endpoint family are deposited as Appendix G, item G.7; the deployed build's endpoint settings are not on record);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(as specified): Per-session JSON event log including input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(as specified; in deployment the recorded index came from the InBody FRA software measuring from the footplate beneath the game's foot pad, read and logged by the therapist, §5.2A);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August 2024 Three.js prototype records (G.7, G.0A)</w:t>
            </w:r>
          </w:p>
        </w:tc>
        <w:tc>
          <w:tcPr>
            <w:tcW w:type="dxa" w:w="2340"/>
          </w:tcPr>
          <w:p>
            <w:r>
              <w:rPr>
                <w:sz w:val="15"/>
              </w:rPr>
              <w:t>docs/thesis/game/2024_threejs_prototype/ (specification PDF, code print PDF, game_v2.html, July 2026 overview)</w:t>
            </w:r>
          </w:p>
        </w:tc>
        <w:tc>
          <w:tcPr>
            <w:tcW w:type="dxa" w:w="1029"/>
          </w:tcPr>
          <w:p>
            <w:r>
              <w:rPr>
                <w:sz w:val="15"/>
              </w:rPr>
              <w:t>29–30 Aug 2024; 12 Jul 2026; received 3 Oct 2026</w:t>
            </w:r>
          </w:p>
        </w:tc>
        <w:tc>
          <w:tcPr>
            <w:tcW w:type="dxa" w:w="1029"/>
          </w:tcPr>
          <w:p>
            <w:r>
              <w:rPr>
                <w:sz w:val="15"/>
              </w:rPr>
              <w:t>None (development only)</w:t>
            </w:r>
          </w:p>
        </w:tc>
        <w:tc>
          <w:tcPr>
            <w:tcW w:type="dxa" w:w="1123"/>
          </w:tcPr>
          <w:p>
            <w:r>
              <w:rPr>
                <w:sz w:val="15"/>
              </w:rPr>
              <w:t>—</w:t>
            </w:r>
          </w:p>
        </w:tc>
        <w:tc>
          <w:tcPr>
            <w:tcW w:type="dxa" w:w="1123"/>
          </w:tcPr>
          <w:p>
            <w:r>
              <w:rPr>
                <w:sz w:val="15"/>
              </w:rPr>
              <w:t>§5.3.5 worked example (counterpart), §5.3.9 chronology, Appendix E.1</w:t>
            </w:r>
          </w:p>
        </w:tc>
        <w:tc>
          <w:tcPr>
            <w:tcW w:type="dxa" w:w="1123"/>
          </w:tcPr>
          <w:p>
            <w:r>
              <w:rPr>
                <w:sz w:val="15"/>
              </w:rPr>
              <w:t>Held in repository with SHA-256</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1b. Three.js/Cannon.js browser prototype with ability form and server-side model analysis</w:t>
            </w:r>
          </w:p>
        </w:tc>
        <w:tc>
          <w:tcPr>
            <w:tcW w:type="dxa" w:w="1123"/>
          </w:tcPr>
          <w:p>
            <w:r>
              <w:rPr>
                <w:sz w:val="15"/>
              </w:rPr>
              <w:t>Specification 29 Aug 2024; code print 30 Aug 2024; overview 12 Jul 2026 (item G.7)</w:t>
            </w:r>
          </w:p>
        </w:tc>
        <w:tc>
          <w:tcPr>
            <w:tcW w:type="dxa" w:w="1404"/>
          </w:tcPr>
          <w:p>
            <w:r>
              <w:rPr>
                <w:sz w:val="15"/>
              </w:rPr>
              <w:t>game_v2.html as received 3 Oct 2026 (SHA-256 ef12145a…); no version string</w:t>
            </w:r>
          </w:p>
        </w:tc>
        <w:tc>
          <w:tcPr>
            <w:tcW w:type="dxa" w:w="1310"/>
          </w:tcPr>
          <w:p>
            <w:r>
              <w:rPr>
                <w:sz w:val="15"/>
              </w:rPr>
              <w:t>Browser on a computer; keyboard arrow or A/D keys; GLTF models from a project server</w:t>
            </w:r>
          </w:p>
        </w:tc>
        <w:tc>
          <w:tcPr>
            <w:tcW w:type="dxa" w:w="1497"/>
          </w:tcPr>
          <w:p>
            <w:r>
              <w:rPr>
                <w:sz w:val="15"/>
              </w:rPr>
              <w:t>Pre-game form → deterministic difficulty formulas in the page; post-game analysis by a server-side large-language-model call (prompt on record, G.7)</w:t>
            </w:r>
          </w:p>
        </w:tc>
        <w:tc>
          <w:tcPr>
            <w:tcW w:type="dxa" w:w="1310"/>
          </w:tcPr>
          <w:p>
            <w:r>
              <w:rPr>
                <w:sz w:val="15"/>
              </w:rPr>
              <w:t>No logs retained</w:t>
            </w:r>
          </w:p>
        </w:tc>
        <w:tc>
          <w:tcPr>
            <w:tcW w:type="dxa" w:w="1310"/>
          </w:tcPr>
          <w:p>
            <w:r>
              <w:rPr>
                <w:sz w:val="15"/>
              </w:rPr>
              <w:t>No study participant; development only</w:t>
            </w:r>
          </w:p>
        </w:tc>
      </w:tr>
      <w:tr>
        <w:tc>
          <w:tcPr>
            <w:tcW w:type="dxa" w:w="1404"/>
          </w:tcPr>
          <w:p>
            <w:r>
              <w:rPr>
                <w:sz w:val="15"/>
              </w:rPr>
              <w:t>2. Deployed Stage-2 build (2D Pygame skiing game at the InBody pressure-panel station)</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w:t>
            </w:r>
          </w:p>
        </w:tc>
        <w:tc>
          <w:tcPr>
            <w:tcW w:type="dxa" w:w="1310"/>
          </w:tcPr>
          <w:p>
            <w:r>
              <w:rPr>
                <w:sz w:val="15"/>
              </w:rPr>
              <w:t>USB foot pad (make and model not on record) placed on top of the InBody FRA510S footplate and read by the game; the footplate drove the InBody FRA software in parallel (no application programming interface; separate data sets joined by the therapist's hand record); first version tested by keyboard; clinician-side InBody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Status at 3 October 2026: partly deposited. Held in the thesis repository (docs/thesis/game/2024_threejs_prototype/, with SHA-256): the design specification of the August 2024 browser prototype (dated 29 August 2024), whose appendix reproduces the large-language-model prompt of its analysis-and-recommendation module and which names the endpoint family (LangChain over the OpenAI API, called server-side); the prototype's one-page code print (30 August 2024); the runnable prototype page (game_v2.html, no credential embedded); and a seven-page overview of the same line dated 12 July 2026. Not on record: the prompt template, model version and run-time settings of the deployed Stage-2 build, and the Stage-2 AI-call logs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V65 - 2 October 2026 (Stage-3A builds and distributors). §6.4: distributors received both builds (the earlier version with a possible game over; the archived build, created 13 July 2026) and passed them on; which build each participant played was not recorded, replacing 'most played the archived build'. §6.4 also states, on the author's account, that the twenty distributors' own records are among the 120 and that, having been briefed, they were not naive to the framing. Every number is unchanged.</w:t>
      </w:r>
    </w:p>
    <w:p>
      <w:pPr>
        <w:pageBreakBefore/>
      </w:pPr>
      <w:r>
        <w:rPr>
          <w:color w:val="000000"/>
        </w:rPr>
        <w:t>V66 - 2 October 2026 (distributors; Stage-3A timing). On the author's account: the twenty distributors belonged to separate Hong Kong groups, were eligible, had no prior knowledge of the gamified FRA and were briefed only on distribution (V65's 'not naive to the framing' withdrawn); implementation limitations with the earlier build led to the archived build (13 July 2026) and the main period of play was postponed to late July 2026 (§6.4; Table 3.1A). Every number is unchanged.</w:t>
      </w:r>
    </w:p>
    <w:p>
      <w:pPr>
        <w:pageBreakBefore/>
      </w:pPr>
      <w:r>
        <w:rPr>
          <w:color w:val="000000"/>
        </w:rPr>
        <w:t>V67 - 2 October 2026 (examiner review of V66, first batch). Abstract trimmed to about 470 words, with the Stage-1 provenance limit added; acknowledgement reworded for the supervisor's dual role; ToC §1.2 entry, LoF (Figures 2.1, 7.3 added) and LoT order corrected; Figure 8.1 renumbered 7.3, Figure 9.2 renumbered 9.1 (no 9.1 existed), Tables 9.2 and 9.3 renumbered to body order with cross-references, Table 9.1 main caption moved to its first segment; §4.1A cross-reference repaired; Table 4.1 caption states the G.1 limit; §5.5 reports the archived joint count (3 of 8; 2 of 7); 'examiner' and 'examination-driven' wording neutralised (§3.4, §5.6, I.1, I.2, I.7); G.3 explains the quarantined raw import sheet and the summary's only checks; §6.4 adds the consolidated limits paragraph; §9.7 adds the positive statement; image alt text set from captions. F4 identifiers re-verified against the Stage-2 ID register (all six single-session; S2-P015 flagged). Every number is unchanged.</w:t>
      </w:r>
    </w:p>
    <w:p>
      <w:pPr>
        <w:pageBreakBefore/>
      </w:pPr>
      <w:r>
        <w:rPr>
          <w:color w:val="000000"/>
        </w:rPr>
        <w:t>V68 - 2 October 2026 (examiner review of V66, second pass; author decisions of 2 October). (1) Stage-3B record closed at 30 September 2026 by the author's dated decision note (G.12), restated at every former '15 October 2026 cut-off' (43 places; Appendix I heading, Tables I.1, I.3, I.4, 3.1A, 9.1, 9.2; Figure I.1 redrawn; placeholder row removed). (2) 'Older adults' throughout the body; proper names, paper titles and cited titles unchanged. (3) Figure 5.6 moved to Appendix B as Figure B.1; Figure 5.7 renumbered 5.6. (4) Publications and outputs page added after the Abstract (Papers 1–3 with contribution statements); Tam &amp; Cheung entries added to the References. (5) G.0 source-to-result manifest and G.0A build-lineage matrix entered as tables; G.14 added; G.1, G.5, G.7, G.8, G.10, G.12 status restated factually; §8.9 pending list replaced by a deposit-status statement. (6) Stage-1 provenance limit carried into §1.6, §2.3, §4.2, §4.8, Table 4.1, Table 5.3, Table 9.1, Table 9.2 and §9.2; S2-P015 flagged in Tables 5.2, 5.3 and 6.5, Figures 5.4, 5.5 and B.1, §2.4.4, §9.2 and §9.9; §5.5/§5.6/§8.3/§9.2 joint-count statements reconciled. (7) Stage-2 operational status: no operational claim for the Layer-2 loop, API calls or telemetry (§1.8, §2.6, §5.3.4–§5.3.9, §5.4, §7.4, §7.5, Appendix E, Tables 2.3 and 7.1); apparatus wording aligned with §6.4 (trackpad removed; iPad with assistant stated) in §1.9, §1.13, §2.6.4, §3.2, §5.3.8, §8.5.7–8.5.8, §9.2, §9.9, Appendix E. (8) Ethics items stated as the record at 30 September 2026 with determination-ready wording (§3.4, I.4, I.7); PIPL scope corrected; Pro v4.1 use and supervisor sign-off status stated in §3.4; §8.7 now examines the Stage-2 disclosure arrangements; §6.12 and H.6/H.7 stubs replaced by factual status (member-checks not returned). (9) §9.7 positive statement anchored to the EngD standard and corrected on 'the same game' and the verdict claim; §6.4 limits paragraph corrected; §6.4 reconciliation note added; §6.2 and §1.9 coordination-item wording; manipulation-check phrasing; residual 'retention', 'voluntary return', 'continued play' uses. (10) List of Abbreviations extended; Table 3.1A and 9.1 captions 'programme order' and '2023 – October 2026'; captions moved above Tables 3.1A, 9.1 and 9.2; H3 gap stated; cross-references repaired; alt text set to full caption sentences; population projections sourced (C&amp;SD 2023; State Council 2025); facility utilisation history attributed to the facility's account. Every number is unchanged.</w:t>
      </w:r>
    </w:p>
    <w:p>
      <w:pPr>
        <w:pageBreakBefore/>
      </w:pPr>
      <w:r>
        <w:rPr>
          <w:color w:val="000000"/>
        </w:rPr>
        <w:t>V70 - 3 October 2026 (second examination; 2024 prototype records). The second examination of 3 October 2026 records the thesis as acceptable in substance; V69 regenerated the contents pages (Chapter 1–2 entries had carried a roman numeral) and produced the reading copy with this checklist deleted. V70 deposits records supplied by the author on 3 October 2026: the August 2024 Three.js browser prototype (design specification with its large-language-model prompt, code print, runnable page, July 2026 overview) and the April 2024 programme progress report. G.7 is restated as partly deposited; a row 1b is added to G.0A and two rows to G.0; §5.3.4, §5.3.5, §5.3.9, §8.9 and Appendix E.1 now distinguish the deposited prototype template from the deployed build's settings, which remain not on record. Every number is unchanged.</w:t>
      </w:r>
    </w:p>
    <w:p>
      <w:pPr>
        <w:pageBreakBefore/>
      </w:pPr>
      <w:r>
        <w:rPr>
          <w:color w:val="000000"/>
        </w:rPr>
        <w:t>V71 - 3 October 2026 (Stage-2 capture pathway; corrected in part by V72). On the author's account of 3 October 2026, the game and the InBody FRA measurement were driven by the same weight shifts at the same time; the two kept separate data sets and the game did not read or interpret the FRA measurement; the therapist beside the player recorded the game states at the end of each game, then the FRA indices from the FRA system, graded and entered in the FRA logbook. §5.2A, §5.3, Figure 5.2 text, §5.5, §8.9, Appendix E.1, G.0A row 2 and G.2 now say so, replacing wording that attributed the recorded 'after' index to the game's own pipeline. Every number is unchanged.</w:t>
      </w:r>
    </w:p>
    <w:p>
      <w:pPr>
        <w:pageBreakBefore/>
      </w:pPr>
      <w:r>
        <w:rPr>
          <w:color w:val="000000"/>
        </w:rPr>
        <w:t>V72 - 3 October 2026 (Stage-2 input arrangement). On the author's further account of 3 October 2026, the developed and tested Stage-2 game could not be integrated with the InBody FRA510S because the instrument exposes no application programming interface; the game was therefore driven by a separate USB foot pad placed on top of the FRA footplate, the footplate driving the InBody FRA software in parallel, each system recording its own data set, joined by the therapist's hand record at the end of each game; the first version had been tested by keyboard. Wording that had the game read the InBody COP stream is replaced in the Abstract, §5.2A (Figure 5.0 caption, Table 5.0), §5.3, §5.3.1, §5.3.2, §5.3.4 (Figure 5.2 caption), §5.3.6 (Table 5.1), §5.3.7, §5.3.9, §5.5, §8.5.8, §8.7, §8.9, §9.7, Appendix E.1 and G.0A row 2; the foot pad's make and model and its effect on the footplate reading are stated as not on record.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