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disengaged at or before three game cycles, and none re-engaged within the study window (0/21; 95% CI 0.0-15.5%) - including three participants whose recorded balance index improved during their only session. The knowledge was created, captured and delivered; its acceptance collapsed.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It is acknowledged as a plausible amplifier rather than argued away, and it adds a requirement to the confirmatory programme: at least one group-level design response, with individual clinical metrics never made socially visible.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