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Failure-Induced Abandonment of a Gamified, Artificial Intelligence-Assisted Fall Risk Assessment System Among Older Adults in Residential Care: Action Research Study</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r>
        <w:rPr>
          <w:b/>
        </w:rPr>
        <w:t xml:space="preserve">Background: </w:t>
      </w:r>
      <w:r>
        <w:t>Fall Risk Assessment (FRA) systems assess balance and support fall prevention as clinical devices, but they rarely achieve sustained engagement among older adults. At the study facility, a survey of 200 residents found that only 39% had ever used the installed FRA system; approximately 74% of users failed at their first attempt, and 82% of those never returned. Established acceptance models and gamification frameworks predict whether people start using a system and how engagement is motivated within a session; none represents what happens after a user fails.</w:t>
      </w:r>
    </w:p>
    <w:p>
      <w:r>
        <w:rPr>
          <w:b/>
        </w:rPr>
        <w:t xml:space="preserve">Objective: </w:t>
      </w:r>
      <w:r>
        <w:t>This study aimed to characterise engagement and abandonment behaviour in a gamified, artificial intelligence (AI)-assisted FRA deployment among elderly residents, and to propose a testable behavioural account of rapid, permanent post-failure abandonment.</w:t>
      </w:r>
    </w:p>
    <w:p>
      <w:r>
        <w:rPr>
          <w:b/>
        </w:rPr>
        <w:t xml:space="preserve">Methods: </w:t>
      </w:r>
      <w:r>
        <w:t>An action-research deployment ran for eight weeks at a residential care facility in Southern China. An AI-assisted skiing game was built on the FRA system's weight-shifting foot pressure panel, so that one physical action steers the on-screen skier while yielding the centre-of-pressure stream from which the clinical balance index is computed. First-session difficulty was set low enough for the weakest-balance participant to succeed, and an AI layer adapted difficulty to individual performance. Thirty residents (aged 62-84 years; mean 71.1, SD 5.9; 13 men, 17 women) participated with informed consent. Behavioural outcomes (disengagement, re-engagement), the recorded FRA index and satisfaction were analysed with Wilson 95% confidence intervals, paired t and Wilcoxon tests, and Fisher's exact test.</w:t>
      </w:r>
    </w:p>
    <w:p>
      <w:r>
        <w:rPr>
          <w:b/>
        </w:rPr>
        <w:t xml:space="preserve">Results: </w:t>
      </w:r>
      <w:r>
        <w:t>Seventy per cent of participants (21/30; 95% CI 52.1-83.3) disengaged at or before three game cycles, 26.7% (8/30; 95% CI 14.2-44.4) exited after a single session, and no disengaged participant re-engaged within the study window (0/21; 95% CI 0.0-15.5). Among the nine sustained participants, the recorded FRA index improved by a mean of +6.9 points (95% CI 4.5-9.3; paired dz=2.22, 95% CI 0.95-3.46); across all thirty participants the paired change was +4.0 points (95% CI 0.5-7.6; dz=0.42, 95% CI 0.05-0.79). Satisfaction was strongly associated with sustained engagement (9/9 vs 11/21; P=.013). Three participants whose recorded balance index improved during their only session still never returned.</w:t>
      </w:r>
    </w:p>
    <w:p>
      <w:r>
        <w:rPr>
          <w:b/>
        </w:rPr>
        <w:t xml:space="preserve">Conclusions: </w:t>
      </w:r>
      <w:r>
        <w:t>The findings motivate two working hypotheses: failure-induced dropout (FIDS), in which a first failure collapses task self-efficacy, and failure-induced abandonment (FIAS), in which loss aversion converts negative feedback into evidence of bodily decline, so that non-return becomes permanent. Four falsifiable predictions (H1-H4) and a domain-reframing hypothesis (H5) are specified for a preregistered three-arm confirmatory study. Practitioner guidance follows directly: guarantee success in the first session, monitor observable abandonment-risk signals, coach with mastery-oriented language, and never display output the user could read as a health verdict.</w:t>
      </w:r>
    </w:p>
    <w:p>
      <w:r>
        <w:t>Keywords: gamification; serious games; older adults; fall risk assessment; technology abandonment; eHealth attrition; self-efficacy; loss aversion; balance; action research</w:t>
      </w:r>
    </w:p>
    <w:p>
      <w:pPr>
        <w:pStyle w:val="Heading1"/>
      </w:pPr>
      <w:r>
        <w:t>Introduction</w:t>
      </w:r>
    </w:p>
    <w:p>
      <w:r>
        <w:t>Falls are the leading cause of injury-related hospitalisation in adults aged 65 or older [1], [2].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[46].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[3], [4], partly through low self-efficacy and a growing perception of age-related limitation [5], [6]. Eysenbach argued that abandonment is the most common outcome of digital health interventions and called for a 'science of attrition' [7]. The adoption frameworks in wide use — TAM and its extensions — concern what makes people start using a system and have little to say about what happens after a user fails [8], [9].</w:t>
      </w:r>
    </w:p>
    <w:p>
      <w:r>
        <w:t>Gamification has been proposed as one route to better engagement among older adults [10]. An, Cheung and Willoughby reported that a gamified learning system lifted perceived usefulness, ease of use and behavioural intention among older participants within a single session [11], while noting that their design could not show whether people return after experiencing failure, and calling for work on post-adoption obstacles. That call motivated the present study.</w:t>
      </w:r>
    </w:p>
    <w:p>
      <w:pPr>
        <w:pStyle w:val="Heading2"/>
      </w:pPr>
      <w:r>
        <w:t>Background</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Research Questions</w:t>
      </w:r>
    </w:p>
    <w:p>
      <w:r>
        <w:t>RQ1: Does gamified exercise enhance both clinical outcomes measured via FRA and user acceptance among frail elderly residents in residential care? RQ2: What explains rapid and permanent attrition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2"/>
      </w:pPr>
      <w:r>
        <w:t>Prior Work</w:t>
      </w:r>
    </w:p>
    <w:p>
      <w:pPr>
        <w:pStyle w:val="Heading3"/>
      </w:pPr>
      <w:r>
        <w:t>Elderly Technology Adoption</w:t>
      </w:r>
    </w:p>
    <w:p>
      <w:r>
        <w:t>Guner and Acarturk found that TAM remains useful in predicting which technologies older adults choose to use [3]. Wildenbos et al. organised ageing barriers into cognitive, physical, perceptual and motivational types, with motivational aspects the least addressed [4]. Hawthorn observed that many elderly people read their age as evidence against their ability to learn new technologies [5], and Tsai et al. found technology anxiety peaking at first use [6]. Lee and Coughlin noted that older adults respond better to training structured around explicit goals [14], and reviews report that reluctance toward health technologies is often driven by perceived threats to autonomy and independence [15].</w:t>
      </w:r>
    </w:p>
    <w:p>
      <w:pPr>
        <w:pStyle w:val="Heading3"/>
      </w:pPr>
      <w:r>
        <w:t>Positioning Against the Science of Attrition</w:t>
      </w:r>
    </w:p>
    <w:p>
      <w:r>
        <w:t>Eysenbach's 'law of attrition' distinguished usage attrition from research dropout [7]; the users in this study fall into the former group. Kelders et al. found persuasive features and human involvement the strongest indicators of long-term adherence [12]; Christensen et al. noted that the psychological mechanisms beneath adherence remain poorly understood [13]. None of this literature explains why, specifically among frail older adults using FRA systems, abandonment after first failure is rapid, persistent and immune to redesign. FIAS is intended to fill this gap.</w:t>
      </w:r>
    </w:p>
    <w:p>
      <w:pPr>
        <w:pStyle w:val="Heading3"/>
      </w:pPr>
      <w:r>
        <w:t>Fear of Falling</w:t>
      </w:r>
    </w:p>
    <w:p>
      <w:r>
        <w:t>Fear of falling denotes persistent fear that results in activity avoidance even when the person is physically capable [16], [18]. Yardley et al. developed the Falls Efficacy Scale-International (FES-I), capturing falls-related self-efficacy across sixteen everyday activities [17].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permanent abandonment (H1).</w:t>
      </w:r>
    </w:p>
    <w:p>
      <w:pPr>
        <w:pStyle w:val="Heading3"/>
      </w:pPr>
      <w:r>
        <w:t>Gamification and Elderly Health Technology</w:t>
      </w:r>
    </w:p>
    <w:p>
      <w:r>
        <w:t>Gamification applies game-design elements in non-game contexts [10]; work with older adults has concentrated on physical activity and cognitive training [11], [19]. An et al. is the closest precedent: improvements in perceived usefulness, ease of use and behavioural intention among 115 participants aged 50-75, with gamification effectiveness the strongest predictor of ease of use [11]. Their design covered a single session and could not capture what happens when a person fails; the present eight-week longitudinal study responds directly to that limitation.</w:t>
      </w:r>
    </w:p>
    <w:p>
      <w:pPr>
        <w:pStyle w:val="Heading3"/>
      </w:pPr>
      <w:r>
        <w:t>Theoretical Frameworks</w:t>
      </w:r>
    </w:p>
    <w:p>
      <w:r>
        <w:t>TAM predicts adoption from perceived usefulness and ease of use [8]; UTAUT adds social influence and facilitating conditions [9]; STAM extends these for older users with gerontechnology self-efficacy and anxiety [20]; and the Octalysis framework describes eight core drives of engagement with game designs [21]. None of these frameworks addresses the response to failure: all treat engagement as continuous or increasing under appropriate design.</w:t>
      </w:r>
    </w:p>
    <w:p>
      <w:pPr>
        <w:pStyle w:val="Heading3"/>
      </w:pPr>
      <w:r>
        <w:t>Self-Efficacy, Prospect Theory, and the FIDS-FIAS Transition</w:t>
      </w:r>
    </w:p>
    <w:p>
      <w:r>
        <w:t>Bandura's work indicates that self-efficacy determines effort and persistence in the face of adversity [22], and computer self-efficacy shapes system use [23]. A frail older adult who fails an FRA task may experience a collapse of technology self-efficacy leading to disengagement — the mechanism denoted FIDS. Prospect Theory explains why re-engagement may not follow [24], [25]: people evaluate outcomes relative to a reference point, and losses loom roughly twice as large as commensurate gains. For an elderly person, the reference point is their sense of their own physical capability; failure delivers unwelcome news about it, and returning risks more. The psychological cost outweighs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3"/>
      </w:pPr>
      <w:r>
        <w:t>Motivation Crowding and the FRA-Game Coupling</w:t>
      </w:r>
    </w:p>
    <w:p>
      <w:r>
        <w:t>Frey and Jegen's motivation-crowding effect names the erosion of intrinsic motivation by external evaluation [26]; Deci and Ryan's basic needs — autonomy, competence, relatedness — ground intrinsic motivation [27]. When a game is linked directly to health evaluation, play becomes assessment. For older adults already carrying low self-efficacy and high health anxiety, the coupling not only lowers interest but can produce an identity-driven negative reaction.</w:t>
      </w:r>
    </w:p>
    <w:p>
      <w:pPr>
        <w:pStyle w:val="Heading3"/>
      </w:pPr>
      <w:r>
        <w:t>Behaviour-Change Lens: COM-B</w:t>
      </w:r>
    </w:p>
    <w:p>
      <w:r>
        <w:t>In COM-B terms [28], the adaptive difficulty engine manages capability and on-site deployment provides opportunity; the FIAS pattern lives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3"/>
      </w:pPr>
      <w:r>
        <w:t>Information Entropy as a Conceptual Lens</w:t>
      </w:r>
    </w:p>
    <w:p>
      <w:r>
        <w:t>Shannon entropy, H(p) = −Σ pᵢ log₂ pᵢ [29], is used here as a conceptual lens, not a quantitative model. At the start of a session an elderly participant typically holds an open belief state about what the outcome might mean (high entropy). A failure can collapse that state toward a single conviction — 'this technology is not for me' (low entropy) — after which positive feedback must travel through a channel already dominated by negative information, including negative accounts circulating among residents. No entropy quantities are computed in this study; the confirmatory study will elicit outcome probability distributions before and after sessions so that entropy over those distributions can serve as a measure of belief openness.</w:t>
      </w:r>
    </w:p>
    <w:p>
      <w:pPr>
        <w:pStyle w:val="Heading3"/>
      </w:pPr>
      <w:r>
        <w:t>Research Gap</w:t>
      </w:r>
    </w:p>
    <w:p>
      <w:r>
        <w:t>No existing framework covers the full arc from initial adoption through failure to permanent abandonment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the fear-of-falling literature supplies instruments not yet applied to gamified FRA; and COM-B maps design choices without the underlying theory. This study addresses that gap.</w:t>
      </w:r>
    </w:p>
    <w:p>
      <w:pPr>
        <w:pStyle w:val="Heading2"/>
      </w:pPr>
      <w:r>
        <w:t>Objectives and Contribution</w:t>
      </w:r>
    </w:p>
    <w:p>
      <w:r>
        <w:t>This paper makes three original contributions. First, it documents empirical evidence of a pattern in which older users permanently abandon a gamified FRA after first failure: 70.0% low engagement (95% CI 52.1-83.3%), 26.7% single-session exit (95% CI 14.2-44.4%), and zero re-engagement among all 21 disengaged participants (95% CI 0.0-15.5%) over eight weeks — including three participants whose recorded balance index improved in their only session. Second, it offers a mechanistic account linking self-efficacy collapse at first failure with subsequent permanent abandonment driven by loss aversion, with four falsifiable predictions (H1-H4). Third, it presents a framework for failure-aware coaching in health-assessment gamification, including an entropy-constraint concept, observable risk signals and an intervention specification congruent with COM-B.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Methods</w:t>
      </w:r>
    </w:p>
    <w:p>
      <w:pPr>
        <w:pStyle w:val="Heading2"/>
      </w:pPr>
      <w:r>
        <w:t>Study Design</w:t>
      </w:r>
    </w:p>
    <w:p>
      <w:r>
        <w:t>An action-research methodology was followed throughout [30], [31],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Ethical Considerations</w:t>
      </w:r>
    </w:p>
    <w:p>
      <w:r>
        <w:t>The programme operates under the ethics policy of The Hong Kong Polytechnic University and in accordance with the Declaration of Helsinki; the programme, including the characterisation of the Stage-2 consent arrangement, was approved by the university's Human Subjects Ethics Sub-Committee (application reference HSEARS20260805008; Principal Investigator: Prof. C. F. Cheung; approved August 2026). The procedure is reported exactly as conducted. The facility's management, operators and nursing team approved and supported the deployment (gatekeeper consent, recorded); residents were invited by the facility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retrospectively from the sustained participants at the close of the eight-week cycle; dropouts did not sign, and this limitation is acknowledged. Facility staff screened residents' suitability for the standing activity; trained facility personnel remained present throughout sessions, with non-slip flooring and grab rails in reach, and no adverse events occurred. All data were pseudonymised at collection.</w:t>
      </w:r>
    </w:p>
    <w:p>
      <w:pPr>
        <w:pStyle w:val="Heading2"/>
      </w:pPr>
      <w:r>
        <w:t>Data Governance and Protection</w:t>
      </w:r>
    </w:p>
    <w:p>
      <w:r>
        <w:t>Data collected comprised FRA assessment scores, play-session logs, satisfaction ratings and demographics. All data were pseudonymised at collection, with the code key stored separately and encrypted. Data handling was designed to comply with the Personal Information Protection Law (PIPL) [32]. The AI difficulty-adaptation service received only non-identifying aggregate game parameters (obstacle density, speed, timing); no participant identities, demographics, FRA scores or other health information were transmitted to external servers. Throughout the paper, the AI tooling is an enabling technology; the contribution is the behavioural analysis and design framework.</w:t>
      </w:r>
    </w:p>
    <w:p>
      <w:pPr>
        <w:pStyle w:val="Heading2"/>
      </w:pPr>
      <w:r>
        <w:t>Study Site and Participants</w:t>
      </w:r>
    </w:p>
    <w:p>
      <w:r>
        <w:t>Thirty elderly residents of the facility participated without remuneration: ages 62-84 (mean 71.1, SD 5.9), 13 men and 17 women, all with fall-risk markers identified at initial assessment. Over eight weeks, each resident was exposed to both the standard FRA and the gamified FRA. This was a within-participant observational study of dropout patterns, not a randomised controlled trial.</w:t>
      </w:r>
    </w:p>
    <w:p>
      <w:pPr>
        <w:pStyle w:val="Heading2"/>
      </w:pPr>
      <w:r>
        <w:t>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session cycles completed</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session cycles completed</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2"/>
      </w:pPr>
      <w:r>
        <w:t>The Gamified Intervention</w:t>
      </w:r>
    </w:p>
    <w:p>
      <w:pPr>
        <w:pStyle w:val="Heading3"/>
      </w:pPr>
      <w:r>
        <w:t>Dual-Purpose Input</w:t>
      </w:r>
    </w:p>
    <w:p>
      <w:r>
        <w:t>The system was engineered so that one physical action performs two functions.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[33] and established its test-retest reliability [34];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pPr>
        <w:pStyle w:val="Heading3"/>
      </w:pPr>
      <w:r>
        <w:t>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[21] (Figure 1). Staff were instructed to use phrases such as 'you are practising a new balance skill' in place of 'you are being tested for fall risk'.</w:t>
      </w:r>
    </w:p>
    <w:p>
      <w:r>
        <w:drawing>
          <wp:inline xmlns:a="http://schemas.openxmlformats.org/drawingml/2006/main" xmlns:pic="http://schemas.openxmlformats.org/drawingml/2006/picture">
            <wp:extent cx="4754880" cy="3076687"/>
            <wp:docPr id="1" name="Picture 1"/>
            <wp:cNvGraphicFramePr>
              <a:graphicFrameLocks noChangeAspect="1"/>
            </wp:cNvGraphicFramePr>
            <a:graphic>
              <a:graphicData uri="http://schemas.openxmlformats.org/drawingml/2006/picture">
                <pic:pic>
                  <pic:nvPicPr>
                    <pic:cNvPr id="0" name="thesis_fig_5_1_image4.png"/>
                    <pic:cNvPicPr/>
                  </pic:nvPicPr>
                  <pic:blipFill>
                    <a:blip r:embed="rId9"/>
                    <a:stretch>
                      <a:fillRect/>
                    </a:stretch>
                  </pic:blipFill>
                  <pic:spPr>
                    <a:xfrm>
                      <a:off x="0" y="0"/>
                      <a:ext cx="4754880" cy="3076687"/>
                    </a:xfrm>
                    <a:prstGeom prst="rect"/>
                  </pic:spPr>
                </pic:pic>
              </a:graphicData>
            </a:graphic>
          </wp:inline>
        </w:drawing>
      </w:r>
    </w:p>
    <w:p>
      <w:r>
        <w:rPr>
          <w:i/>
          <w:sz w:val="18"/>
        </w:rPr>
        <w:t>Figure 1. The gamified skiing interface deployed on the InBody balance panel. The user steers the on-screen skier by shifting body weight laterally on the pressure-sensitive panel; each lateral shift is simultaneously logged as Centre-of-Pressure (COP) coordinates for clinical fall-risk analysis. The dual-purpose design allows a standard FRA measurement to occur within a game context.</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[35] and with An et al.'s conclusion that building confidence matters more than competition in this population [11]. The leaderboard is removed from the confirmatory design.</w:t>
      </w:r>
    </w:p>
    <w:p>
      <w:pPr>
        <w:pStyle w:val="Heading3"/>
      </w:pPr>
      <w:r>
        <w:t>Five-Layer Architecture</w:t>
      </w:r>
    </w:p>
    <w:p>
      <w:r>
        <w:t>The system comprises five layers.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 Figure 2 shows the deployed game at five staged difficulty levels.</w:t>
      </w:r>
    </w:p>
    <w:p>
      <w:r>
        <w:drawing>
          <wp:inline xmlns:a="http://schemas.openxmlformats.org/drawingml/2006/main" xmlns:pic="http://schemas.openxmlformats.org/drawingml/2006/picture">
            <wp:extent cx="5486400" cy="6337738"/>
            <wp:docPr id="6" name="Picture 6"/>
            <wp:cNvGraphicFramePr>
              <a:graphicFrameLocks noChangeAspect="1"/>
            </wp:cNvGraphicFramePr>
            <a:graphic>
              <a:graphicData uri="http://schemas.openxmlformats.org/drawingml/2006/picture">
                <pic:pic>
                  <pic:nvPicPr>
                    <pic:cNvPr id="0" name="Figure3_Game_Screenshots_Difficulty_Levels.png"/>
                    <pic:cNvPicPr/>
                  </pic:nvPicPr>
                  <pic:blipFill>
                    <a:blip r:embed="rId14"/>
                    <a:stretch>
                      <a:fillRect/>
                    </a:stretch>
                  </pic:blipFill>
                  <pic:spPr>
                    <a:xfrm>
                      <a:off x="0" y="0"/>
                      <a:ext cx="5486400" cy="6337738"/>
                    </a:xfrm>
                    <a:prstGeom prst="rect"/>
                  </pic:spPr>
                </pic:pic>
              </a:graphicData>
            </a:graphic>
          </wp:inline>
        </w:drawing>
      </w:r>
    </w:p>
    <w:p>
      <w:r>
        <w:t>Figure 2. The skiing game at five staged difficulty multipliers (x0.40-x1.40). Obstacle density and scroll speed scale with the AI-set difficulty multiplier; screenshots are from the archived build in the deployed design lineage.</w:t>
      </w:r>
    </w:p>
    <w:p>
      <w:pPr>
        <w:pStyle w:val="Heading3"/>
      </w:pPr>
      <w:r>
        <w:t>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dropping below neutral after the first cycle; no improvement across three consecutive cycles; and participants attributing difficulty to age or physical deterioration. In COM-B terms, coaching addresses reflective motivation through reframing, and staff activation adds social opportunity.</w:t>
      </w:r>
    </w:p>
    <w:p>
      <w:pPr>
        <w:pStyle w:val="Heading2"/>
      </w:pPr>
      <w:r>
        <w:t>Data Collection and Measures</w:t>
      </w:r>
    </w:p>
    <w:p>
      <w:r>
        <w:t>Each session involved: baseline FRA index on the InBody machine; performance on the gamified task; a five-point satisfaction rating; and self-reported symptom change at follow-up. Five variables were collected per participant: V1 cycles completed; V2 pre/post FRA index; V3 symptom change; V4 satisfaction; V5 age and gender.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pStyle w:val="Heading3"/>
      </w:pPr>
      <w:r>
        <w:t>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self-reported improvement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was confirmed at 70.0% (95% CI 52.1-83.3%) and the single-session exit rate at 26.7% (95% CI 14.2-44.4%); (4) the satisfaction association with sustained engagement was confirmed (9/9 versus 11/21; Fisher's exact p = 0.013).</w:t>
      </w:r>
    </w:p>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2"/>
      </w:pPr>
      <w:r>
        <w:t>Statistical Analysis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[36]. Associations between binary characteristics and sustained engagement use Fisher's exact test. No time-to-event modelling is used or reported (Section VII-A).</w:t>
      </w:r>
    </w:p>
    <w:p>
      <w:pPr>
        <w:pStyle w:val="Heading1"/>
      </w:pPr>
      <w:r>
        <w:t>Results</w:t>
      </w:r>
    </w:p>
    <w:p>
      <w:pPr>
        <w:pStyle w:val="Heading2"/>
      </w:pPr>
      <w:r>
        <w:t>Clinical Outcomes</w:t>
      </w:r>
    </w:p>
    <w:p>
      <w:r>
        <w:rPr>
          <w:i/>
          <w:sz w:val="18"/>
        </w:rPr>
        <w:t>Table 2. FRA index outcomes,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Self-reported improvement</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2 reports outcomes for the nine participants who sustained engagement (≥ 4 cycles).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3. FRA index outcomes,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Self-reported improvement</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Despite minimal engagement, the low-engagement group shows a mean change of +2.8 points with high variability. Only 52% reported satisfaction or perceived improvement, against 100% of sustained participants — satisfaction and sustained engagement are strongly associated (Fisher's exact p = 0.013).</w:t>
      </w:r>
    </w:p>
    <w:p>
      <w:pPr>
        <w:pStyle w:val="Heading2"/>
      </w:pPr>
      <w:r>
        <w:t>The Abandonment Pattern</w:t>
      </w:r>
    </w:p>
    <w:p>
      <w:r>
        <w:rPr>
          <w:i/>
          <w:sz w:val="18"/>
        </w:rPr>
        <w:t>Table 4.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The most telling figure is the zero re-engagement count: of the 21 participants who disengaged, not one returned within the eight-week window. This absolute permanence distinguishes the pattern from typical usage attrition, in which some users return [7]. The 26.7% single-session exit rate marks the first session as the highest-risk point (Figure 3). No time-to-event model is reported: the archive preserves cycle counts, not timestamps. The evidential core of the pattern is carried by the three directly observed quantities in Table 4 and by the satisfaction association above. Figure 3 shows the participant flow.</w:t>
      </w:r>
    </w:p>
    <w:p>
      <w:r>
        <w:drawing>
          <wp:inline xmlns:a="http://schemas.openxmlformats.org/drawingml/2006/main" xmlns:pic="http://schemas.openxmlformats.org/drawingml/2006/picture">
            <wp:extent cx="4754880" cy="3039792"/>
            <wp:docPr id="2" name="Picture 2"/>
            <wp:cNvGraphicFramePr>
              <a:graphicFrameLocks noChangeAspect="1"/>
            </wp:cNvGraphicFramePr>
            <a:graphic>
              <a:graphicData uri="http://schemas.openxmlformats.org/drawingml/2006/picture">
                <pic:pic>
                  <pic:nvPicPr>
                    <pic:cNvPr id="0" name="thesis_fig_5_5.png"/>
                    <pic:cNvPicPr/>
                  </pic:nvPicPr>
                  <pic:blipFill>
                    <a:blip r:embed="rId10"/>
                    <a:stretch>
                      <a:fillRect/>
                    </a:stretch>
                  </pic:blipFill>
                  <pic:spPr>
                    <a:xfrm>
                      <a:off x="0" y="0"/>
                      <a:ext cx="4754880" cy="3039792"/>
                    </a:xfrm>
                    <a:prstGeom prst="rect"/>
                  </pic:spPr>
                </pic:pic>
              </a:graphicData>
            </a:graphic>
          </wp:inline>
        </w:drawing>
      </w:r>
    </w:p>
    <w:p>
      <w:r>
        <w:rPr>
          <w:i/>
          <w:sz w:val="18"/>
        </w:rPr>
        <w:t>Figure 3. Participant flow diagram (N = 30). Twenty-one participants disengaged at or before three cycles, including eight single-session exits; six formed the F4 abandonment cluster, of whom three recorded an improved FRA index in their only session and still never returned. No re-engagement after disengagement was observed (0 of 21).</w:t>
      </w:r>
    </w:p>
    <w:p>
      <w:pPr>
        <w:pStyle w:val="Heading2"/>
      </w:pPr>
      <w:r>
        <w:t>Qualitative Coding and the FIAS Composite</w:t>
      </w:r>
    </w:p>
    <w:p>
      <w:r>
        <w:t>All 30 participants were coded with thirteen binary attributes drawn from STAM constructs and selected Octalysis drives, collapsed onto a 0-10 composite. The composite is a descriptive case-identification device and carries no evidential weight: several attributes record engagement and exit behaviour, so a participant who abandoned early necessarily scores high, and the clustering of the F4 group at the top of the scale is partly true by construction. Every evidential statement in this paper rests on directly observed behaviour — single-session exit, non-return, and the divergence between recorded score direction and return.</w:t>
      </w:r>
    </w:p>
    <w:p>
      <w:r>
        <w:rPr>
          <w:i/>
          <w:sz w:val="18"/>
        </w:rPr>
        <w:t>Table 5.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 Dissatisfied OR (1 cycle AND no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Cycles ≤ 2 AND no improvement AND satisfaction ≤ Neutral</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6.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 (Figure 4). Figure 4 shows the distribution.</w:t>
      </w:r>
    </w:p>
    <w:p>
      <w:r>
        <w:drawing>
          <wp:inline xmlns:a="http://schemas.openxmlformats.org/drawingml/2006/main" xmlns:pic="http://schemas.openxmlformats.org/drawingml/2006/picture">
            <wp:extent cx="4754880" cy="2806386"/>
            <wp:docPr id="3" name="Picture 3"/>
            <wp:cNvGraphicFramePr>
              <a:graphicFrameLocks noChangeAspect="1"/>
            </wp:cNvGraphicFramePr>
            <a:graphic>
              <a:graphicData uri="http://schemas.openxmlformats.org/drawingml/2006/picture">
                <pic:pic>
                  <pic:nvPicPr>
                    <pic:cNvPr id="0" name="p2R2_fig3_distribution.png"/>
                    <pic:cNvPicPr/>
                  </pic:nvPicPr>
                  <pic:blipFill>
                    <a:blip r:embed="rId11"/>
                    <a:stretch>
                      <a:fillRect/>
                    </a:stretch>
                  </pic:blipFill>
                  <pic:spPr>
                    <a:xfrm>
                      <a:off x="0" y="0"/>
                      <a:ext cx="4754880" cy="2806386"/>
                    </a:xfrm>
                    <a:prstGeom prst="rect"/>
                  </pic:spPr>
                </pic:pic>
              </a:graphicData>
            </a:graphic>
          </wp:inline>
        </w:drawing>
      </w:r>
    </w:p>
    <w:p>
      <w:r>
        <w:rPr>
          <w:i/>
          <w:sz w:val="18"/>
        </w:rPr>
        <w:t>Figure 4.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2"/>
      </w:pPr>
      <w:r>
        <w:t>Qualitative Record and the F4 Interview Protocol (Designed, Not Administered)</w:t>
      </w:r>
    </w:p>
    <w:p>
      <w:r>
        <w:t>A nine-question semi-structured interview protocol was designed for F4-cluster participants, to probe within days of an abandoned session whether the decision to stop was immediate or deliberate (Table 7); questions 3 and 4 address H2 and H3, question 7 addresses H4, and question 9 probes domain reframing. The protocol was not administered in Stage 2 — the F4 residents' negative reaction to the experience made a research interview inappropriate at the time — and no F4 interview data exist; it is specified for the confirmatory study. The Stage-2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w:t>
      </w:r>
    </w:p>
    <w:p>
      <w:r>
        <w:rPr>
          <w:i/>
          <w:sz w:val="18"/>
        </w:rPr>
        <w:t>Table 7.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Discussion</w:t>
      </w:r>
    </w:p>
    <w:p>
      <w:pPr>
        <w:pStyle w:val="Heading2"/>
      </w:pPr>
      <w:r>
        <w:t>Principal Findings: Did Gamification Help? (RQ1)</w:t>
      </w:r>
    </w:p>
    <w:p>
      <w:r>
        <w:t>For the subset who sustained engagement, yes: +6.9 FRA index points (95% CI 4.5-9.3; dz = 2.22), with all nine satisfied or very satisfied; across all thirty, +4.0 points (95% CI 0.5-7.6). These are promising within-deployment signals rather than demonstrated clinical effects.</w:t>
      </w:r>
    </w:p>
    <w:p>
      <w:pPr>
        <w:pStyle w:val="Heading2"/>
      </w:pPr>
      <w:r>
        <w:t>Why Does Abandonment Persist? (RQ2)</w:t>
      </w:r>
    </w:p>
    <w:p>
      <w:r>
        <w:t>The pattern has three defining features. It is early: 70.0% disengaged at or before three cycles, 26.7% after one session. It is absolute within the window: none of 21 disengaged participants returned (95% CI 0.0-15.5%), unlike ordinary usage attrition [7]. And it is not accounted for by dissatisfaction alone: although satisfaction and engagement are strongly associated (p = 0.013), three F4 participants improved on the recorded index in their only session and still never returned. Practical obstacles — usability, staffing, cost, scheduling — do not explain a pattern in which the technology was free, supervised, on site, and in documented cases measurably working for the person who walked away. The evidence is consistent with a psychological mechanism attached to the meaning of failure.</w:t>
      </w:r>
    </w:p>
    <w:p>
      <w:pPr>
        <w:pStyle w:val="Heading2"/>
      </w:pPr>
      <w:r>
        <w:t>The FIDS-FIAS Mechanism (RQ3)</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5).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r>
        <w:drawing>
          <wp:inline xmlns:a="http://schemas.openxmlformats.org/drawingml/2006/main" xmlns:pic="http://schemas.openxmlformats.org/drawingml/2006/picture">
            <wp:extent cx="4754880" cy="5714551"/>
            <wp:docPr id="4" name="Picture 4"/>
            <wp:cNvGraphicFramePr>
              <a:graphicFrameLocks noChangeAspect="1"/>
            </wp:cNvGraphicFramePr>
            <a:graphic>
              <a:graphicData uri="http://schemas.openxmlformats.org/drawingml/2006/picture">
                <pic:pic>
                  <pic:nvPicPr>
                    <pic:cNvPr id="0" name="p2_fig5_mechanism.png"/>
                    <pic:cNvPicPr/>
                  </pic:nvPicPr>
                  <pic:blipFill>
                    <a:blip r:embed="rId12"/>
                    <a:stretch>
                      <a:fillRect/>
                    </a:stretch>
                  </pic:blipFill>
                  <pic:spPr>
                    <a:xfrm>
                      <a:off x="0" y="0"/>
                      <a:ext cx="4754880" cy="5714551"/>
                    </a:xfrm>
                    <a:prstGeom prst="rect"/>
                  </pic:spPr>
                </pic:pic>
              </a:graphicData>
            </a:graphic>
          </wp:inline>
        </w:drawing>
      </w:r>
    </w:p>
    <w:p>
      <w:r>
        <w:rPr>
          <w:i/>
          <w:sz w:val="18"/>
        </w:rPr>
        <w:t>Figure 5. Conceptual model of the proposed FIDS-FIAS mechanism and intervention pathways. The left pathway shows the hypothesised failure cascade: a first failure event collapses self-efficacy (FIDS), after which loss aversion — via an endowment-protective reading of the failure — consolidates permanent withdrawal (FIAS). The dashed elements show the two intervention routes for confirmatory testing: domain reframing (H5), which aims to prevent the identity threat from attaching, and the coaching layer, which aims to repair self-efficacy after activation. The mechanism is proposed, not directly measured.</w:t>
      </w:r>
    </w:p>
    <w:p>
      <w:pPr>
        <w:pStyle w:val="Heading2"/>
      </w:pPr>
      <w:r>
        <w:t>Extended Theory: Endowment, Stereotype Threat, and Domain Reframing</w:t>
      </w:r>
    </w:p>
    <w:p>
      <w:r>
        <w:t>Three further perspectives are offered as theory for confirmatory testing, not as findings. The endowment effect [37], [38]: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[39], [40]: activating negative ageing stereotypes degrades older adults' performance, predominantly as self-concept threat [40]; reframing a task from trait measurement to skill activity reduces the threat [41].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permanent dropout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exits clustered at or before three cycles, none of the 21 disengaged participants re-engaged,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It is acknowledged as a plausible amplifier rather than argued away, and it adds a requirement to the confirmatory programme: at least one group-level design response, with individual clinical metrics never made socially visible.</w:t>
      </w:r>
    </w:p>
    <w:p>
      <w:pPr>
        <w:pStyle w:val="Heading2"/>
      </w:pPr>
      <w:r>
        <w:t>Design Implications for Practitioners</w:t>
      </w:r>
    </w:p>
    <w:p>
      <w:r>
        <w:t>Four principles follow, three grounded in the present findings and one awaiting confirmation.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FIAS risk signals during sessions (satisfaction below neutral after the first cycle;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2"/>
      </w:pPr>
      <w:r>
        <w:t>The Entropy Constraint</w:t>
      </w:r>
    </w:p>
    <w:p>
      <w:r>
        <w:t>A game with no real-world stakes confines the meaning of failure to the game domain: one loses a life and tries again. When game performance and clinical assessment are coupled to the same physical action, a failure event reduces belief entropy in both domains at once — the game and the participant's beliefs about their own health. This is the entropy constraint: a structural property of any system coupling play and assessment. Beliefs about health and self are far more resistant to reopening than game beliefs, and if the endowment analysis above is correct, a newly settled negative conviction ('this technology is not for me') will itself be defended as a possession. Domain reframing aims to confine failure's meaning to the game domain in one step. This framework guides the confirmatory design; no quantitative entropy claim is made here.</w:t>
      </w:r>
    </w:p>
    <w:p>
      <w:pPr>
        <w:pStyle w:val="Heading2"/>
      </w:pPr>
      <w:r>
        <w:t>Future Work: Industrial Context and the Confirmatory Study</w:t>
      </w:r>
    </w:p>
    <w:p>
      <w:pPr>
        <w:pStyle w:val="Heading3"/>
      </w:pPr>
      <w:r>
        <w:t>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single-session exit rate from 26.7% toward 10% would substantially reduce cost per continuing user; the full cost-effectiveness analysis belongs to the confirmatory phase.</w:t>
      </w:r>
    </w:p>
    <w:p>
      <w:pPr>
        <w:pStyle w:val="Heading3"/>
      </w:pPr>
      <w:r>
        <w:t>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6).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[42] and SPIRIT-AI [43]; WHO and regulator guidance on AI in health informs the AI component [44], [45]. All hypotheses (H1-H5) and endpoints will be pre-registered before data collection. Figure 6 summarises the design.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r>
        <w:drawing>
          <wp:inline xmlns:a="http://schemas.openxmlformats.org/drawingml/2006/main" xmlns:pic="http://schemas.openxmlformats.org/drawingml/2006/picture">
            <wp:extent cx="4754880" cy="4274589"/>
            <wp:docPr id="5" name="Picture 5"/>
            <wp:cNvGraphicFramePr>
              <a:graphicFrameLocks noChangeAspect="1"/>
            </wp:cNvGraphicFramePr>
            <a:graphic>
              <a:graphicData uri="http://schemas.openxmlformats.org/drawingml/2006/picture">
                <pic:pic>
                  <pic:nvPicPr>
                    <pic:cNvPr id="0" name="p2_fig6_threearm.png"/>
                    <pic:cNvPicPr/>
                  </pic:nvPicPr>
                  <pic:blipFill>
                    <a:blip r:embed="rId13"/>
                    <a:stretch>
                      <a:fillRect/>
                    </a:stretch>
                  </pic:blipFill>
                  <pic:spPr>
                    <a:xfrm>
                      <a:off x="0" y="0"/>
                      <a:ext cx="4754880" cy="4274589"/>
                    </a:xfrm>
                    <a:prstGeom prst="rect"/>
                  </pic:spPr>
                </pic:pic>
              </a:graphicData>
            </a:graphic>
          </wp:inline>
        </w:drawing>
      </w:r>
    </w:p>
    <w:p>
      <w:r>
        <w:rPr>
          <w:i/>
          <w:sz w:val="18"/>
        </w:rPr>
        <w:t>Figure 6. Three-arm confirmatory study design. Arm 1 (control) replicates the present FRA-coupled conditions; Arm 2 (domain reframing) uses the identical game framed as a reaction-speed challenge, testing H5; Arm 3 adds the staff coaching layer to the FRA-coupled condition, testing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2"/>
      </w:pPr>
      <w:r>
        <w:t>Conclusions</w:t>
      </w:r>
    </w:p>
    <w:p>
      <w:r>
        <w:t>This study built and tested a gamified FRA using a dual-purpose input design at a residential care facility in Southern China. For participants who sustained engagement, gamification helped: +6.9 FRA index points (95% CI 4.5-9.3; dz = 2.22), with all nine satisfied or very satisfied. But 70.0% never passed three cycles, 26.7% stopped after their first session, no participant returned after disengaging — and three participants whose recorded index improved in their only session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[37], [38] and stereotype-threat [40], [41]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Acknowledgments</w:t>
      </w:r>
    </w:p>
    <w:p>
      <w:r>
        <w:t>The authors thank the management and nursing staff, and the residents of the participating residential care facility in Southern China, for their generous cooperation. Supervision by Prof. Chi Fai Cheung at The Hong Kong Polytechnic University is gratefully acknowledged. AI tooling (Anthropic Claude Code and API services) was used as an enabling technology for game development and difficulty adaptation; the contribution of this paper is the behavioural analysis and the design framework.</w:t>
      </w:r>
    </w:p>
    <w:p>
      <w:pPr>
        <w:pStyle w:val="Heading1"/>
      </w:pPr>
      <w:r>
        <w:t>Data Availability</w:t>
      </w:r>
    </w:p>
    <w:p>
      <w:r>
        <w:t>The de-identified Stage-2 dataset (N=30), the derived-variable code and the analysis scripts that reproduce every statistic reported in this paper are held in the study archive and are available from the corresponding author on reasonable request.</w:t>
      </w:r>
    </w:p>
    <w:p>
      <w:pPr>
        <w:pStyle w:val="Heading1"/>
      </w:pPr>
      <w:r>
        <w:t>Authors' Contributions</w:t>
      </w:r>
    </w:p>
    <w:p>
      <w:r>
        <w:t>SKTT conceived the study, developed the gamified system, conducted the fieldwork, performed the analysis and drafted the manuscript. CFC supervised the research programme, contributed to the methodology and critically revised the manuscript. Both authors read and approved the final manuscript.</w:t>
      </w:r>
    </w:p>
    <w:p>
      <w:pPr>
        <w:pStyle w:val="Heading1"/>
      </w:pPr>
      <w:r>
        <w:t>Conflicts of Interest</w:t>
      </w:r>
    </w:p>
    <w:p>
      <w:r>
        <w:t>The authors declare no competing financial or non-financial interests; the lead author holds no financial relationship with Anthropic; the facility was not involved in data analysis or manuscript preparation; the study received no external funding.</w:t>
      </w:r>
    </w:p>
    <w:p>
      <w:pPr>
        <w:pStyle w:val="Heading1"/>
      </w:pPr>
      <w:r>
        <w:t>Abbreviations</w:t>
      </w:r>
    </w:p>
    <w:p>
      <w:r>
        <w:t>AI: artificial intelligence; CI: confidence interval; COM-B: capability, opportunity, motivation-behaviour; COP: centre of pressure; FES-I: Falls Efficacy Scale-International; FIAS: failure-induced abandonment syndrome; FIDS: failure-induced dropout syndrome; FRA: fall risk assessment; RQ: research question; STAM: senior technology acceptance model; TAM: technology acceptance model; WTA: willingness to accept; WTP: willingness to pay.</w:t>
      </w:r>
    </w:p>
    <w:p>
      <w:pPr>
        <w:pStyle w:val="Heading1"/>
      </w:pPr>
      <w:r>
        <w:t>References</w:t>
      </w:r>
    </w:p>
    <w:p>
      <w:r>
        <w:t>[1] NICE, 'Falls in older people: assessing risk and prevention,' Clinical Guideline CG161, London, UK, 2013.</w:t>
      </w:r>
    </w:p>
    <w:p>
      <w:r>
        <w:t>[2] WHO, 'WHO global report on falls prevention in older age,' Geneva, 2007.</w:t>
      </w:r>
    </w:p>
    <w:p>
      <w:r>
        <w:t>[3] H. Guner and C. Acarturk, 'The use and acceptance of ICT by senior citizens: A comparison of TAM for elderly and young adults,' Universal Access Inf. Soc., vol. 19, pp. 311-330, 2020.</w:t>
      </w:r>
    </w:p>
    <w:p>
      <w:r>
        <w:t>[4] G. A. Wildenbos, L. Peute, and M. Jaspers, 'Aging barriers influencing mobile health usability for older adults: MOLD-US,' Int. J. Med. Inform., vol. 114, pp. 66-75, 2018.</w:t>
      </w:r>
    </w:p>
    <w:p>
      <w:r>
        <w:t>[5] D. Hawthorn, 'Interface design and engagement with older people,' Behav. Inf. Technol., vol. 26, no. 4, pp. 333-341, 2007.</w:t>
      </w:r>
    </w:p>
    <w:p>
      <w:r>
        <w:t>[6] H. S. Tsai, R. Shillair, and S. R. Cotten, 'Exploring the role of technology anxiety and self-efficacy in older adults' information seeking,' in Proc. iConference, 2020.</w:t>
      </w:r>
    </w:p>
    <w:p>
      <w:r>
        <w:t>[7] G. Eysenbach, 'The law of attrition,' J. Med. Internet Res., vol. 7, no. 1, e11, 2005.</w:t>
      </w:r>
    </w:p>
    <w:p>
      <w:r>
        <w:t>[8] F. D. Davis, 'Perceived usefulness, perceived ease of use, and user acceptance of information technology,' MIS Quarterly, vol. 13, no. 3, pp. 319-340, 1989.</w:t>
      </w:r>
    </w:p>
    <w:p>
      <w:r>
        <w:t>[9] V. Venkatesh et al., 'User acceptance of information technology: Toward a unified view,' MIS Quarterly, vol. 27, no. 3, pp. 425-478, 2003.</w:t>
      </w:r>
    </w:p>
    <w:p>
      <w:r>
        <w:t>[10] S. Deterding et al., 'From game design elements to gamefulness: Defining gamification,' in Proc. 15th Int. Acad. MindTrek Conf., 2011.</w:t>
      </w:r>
    </w:p>
    <w:p>
      <w:r>
        <w:t>[11] S. An, C. F. Cheung, and K. W. Willoughby, 'A gamification approach for enhancing older adults' technology adoption and knowledge transfer,' Technol. Forecast. Soc. Change, vol. 205, 2024.</w:t>
      </w:r>
    </w:p>
    <w:p>
      <w:r>
        <w:t>[12] S. M. Kelders et al., 'Persuasive system design does matter: A systematic review of adherence to web-based interventions,' J. Med. Internet Res., vol. 14, no. 6, e152, 2012.</w:t>
      </w:r>
    </w:p>
    <w:p>
      <w:r>
        <w:t>[13] H. Christensen, K. M. Griffiths, and L. Farrer, 'Adherence in internet interventions for anxiety and depression,' J. Med. Internet Res., vol. 11, no. 2, e13, 2009.</w:t>
      </w:r>
    </w:p>
    <w:p>
      <w:r>
        <w:t>[14] C. Lee and J. F. Coughlin, 'Older adults' adoption of technology: An integrated approach,' Geriatr. Gerontol. Int., vol. 15, no. 5, pp. 519-525, 2015.</w:t>
      </w:r>
    </w:p>
    <w:p>
      <w:r>
        <w:t>[15] G. Grossi, R. Ferrario, and V. Tosi, 'Barriers and facilitators to health technology adoption by older adults with chronic diseases,' BMC Geriatrics, vol. 24, no. 189, 2024.</w:t>
      </w:r>
    </w:p>
    <w:p>
      <w:r>
        <w:t>[16] M. E. Tinetti and L. Powell, 'Fear of falling and low self-efficacy: A cause of dependence in elderly persons,' J. Gerontol., vol. 48, pp. 35-38, 1993.</w:t>
      </w:r>
    </w:p>
    <w:p>
      <w:r>
        <w:t>[17] L. Yardley et al., 'Development and initial validation of the Falls Efficacy Scale-International (FES-I),' Age Ageing, vol. 34, no. 6, pp. 614-619, 2005.</w:t>
      </w:r>
    </w:p>
    <w:p>
      <w:r>
        <w:t>[18] A. C. Scheffer et al., 'Fear of falling: Measurement strategy, prevalence, risk factors and consequences among older persons,' Age Ageing, vol. 37, no. 1, pp. 19-24, 2008.</w:t>
      </w:r>
    </w:p>
    <w:p>
      <w:r>
        <w:t>[19] J. Koivisto and A. Malik, 'Gamification for older adults: A systematic literature review,' Gerontologist, vol. 61, no. 7, pp. 360-372, 2021.</w:t>
      </w:r>
    </w:p>
    <w:p>
      <w:r>
        <w:t>[20] K. Chen and A. H. S. Chan, 'Gerontechnology acceptance by elderly Hong Kong Chinese: STAM,' Ergonomics, vol. 57, no. 5, pp. 635-652, 2014.</w:t>
      </w:r>
    </w:p>
    <w:p>
      <w:r>
        <w:t>[21] Y.-K. Chou, Actionable Gamification: Beyond Points, Badges, and Leaderboards. Fremont, CA: Octalysis Media, 2015.</w:t>
      </w:r>
    </w:p>
    <w:p>
      <w:r>
        <w:t>[22] A. Bandura, Self-Efficacy: The Exercise of Control. New York: W. H. Freeman, 1997.</w:t>
      </w:r>
    </w:p>
    <w:p>
      <w:r>
        <w:t>[23] D. R. Compeau and C. A. Higgins, 'Computer self-efficacy: Development of a measure and initial test,' MIS Quarterly, vol. 19, no. 2, pp. 189-211, 1995.</w:t>
      </w:r>
    </w:p>
    <w:p>
      <w:r>
        <w:t>[24] D. Kahneman and A. Tversky, 'Prospect theory: An analysis of decision under risk,' Econometrica, vol. 47, no. 2, pp. 263-291, 1979.</w:t>
      </w:r>
    </w:p>
    <w:p>
      <w:r>
        <w:t>[25] A. Tversky and D. Kahneman, 'Advances in prospect theory: Cumulative representation of uncertainty,' J. Risk Uncertain., vol. 5, no. 4, pp. 297-323, 1992.</w:t>
      </w:r>
    </w:p>
    <w:p>
      <w:r>
        <w:t>[26] B. S. Frey and R. Jegen, 'Motivation crowding theory,' J. Econ. Surv., vol. 15, no. 5, pp. 589-611, 2001.</w:t>
      </w:r>
    </w:p>
    <w:p>
      <w:r>
        <w:t>[27] E. L. Deci and R. M. Ryan, Intrinsic Motivation and Self-Determination in Human Behavior. New York: Plenum, 1985.</w:t>
      </w:r>
    </w:p>
    <w:p>
      <w:r>
        <w:t>[28] S. Michie, M. M. van Stralen, and R. West, 'The behaviour change wheel,' Implement. Sci., vol. 6, no. 42, 2011.</w:t>
      </w:r>
    </w:p>
    <w:p>
      <w:r>
        <w:t>[29] C. E. Shannon, 'A mathematical theory of communication,' Bell Syst. Tech. J., vol. 27, pp. 379-423, 623-656, 1948.</w:t>
      </w:r>
    </w:p>
    <w:p>
      <w:r>
        <w:t>[30] E. T. Stringer, Action Research, 4th ed. Thousand Oaks, CA: SAGE, 2014.</w:t>
      </w:r>
    </w:p>
    <w:p>
      <w:r>
        <w:t>[31] K. Lewin, 'Action research and minority problems,' J. Soc. Issues, vol. 2, no. 4, pp. 34-46, 1946.</w:t>
      </w:r>
    </w:p>
    <w:p>
      <w:r>
        <w:t>[32] Standing Committee NPC, 'Personal Information Protection Law of the People's Republic of China,' Beijing, effective 1 November 2021.</w:t>
      </w:r>
    </w:p>
    <w:p>
      <w:r>
        <w:t>[33] S. H. Kim et al., 'Introduction of Fall Risk Assessment system and cross-sectional validation among community-dwelling older adults,' Int. J. Environ. Res. Public Health, vol. 16, no. 5, p. 740, 2019.</w:t>
      </w:r>
    </w:p>
    <w:p>
      <w:r>
        <w:t>[34] S. H. Kim et al., 'Test-retest reliability and sensitivity to change of a new Fall Risk Assessment system,' Int. J. Environ. Res. Public Health, vol. 17, no. 14, p. 5082, 2020.</w:t>
      </w:r>
    </w:p>
    <w:p>
      <w:r>
        <w:t>[35] L. Festinger, 'A theory of social comparison processes,' Hum. Relat., vol. 7, no. 2, pp. 117-140, 1954.</w:t>
      </w:r>
    </w:p>
    <w:p>
      <w:r>
        <w:t>[36] J. Cohen, Statistical Power Analysis for the Behavioral Sciences, 2nd ed. Hillsdale, NJ: Erlbaum, 1988.</w:t>
      </w:r>
    </w:p>
    <w:p>
      <w:r>
        <w:t>[37] R. Thaler, 'Toward a positive theory of consumer choice,' J. Econ. Behav. Organ., vol. 1, no. 1, pp. 39-60, 1980.</w:t>
      </w:r>
    </w:p>
    <w:p>
      <w:r>
        <w:t>[38] D. Kahneman, J. L. Knetsch, and R. H. Thaler, 'Experimental tests of the endowment effect and the Coase theorem,' J. Political Econ., vol. 98, no. 6, pp. 1325-1348, 1990.</w:t>
      </w:r>
    </w:p>
    <w:p>
      <w:r>
        <w:t>[39] R. A. Dionigi, 'Stereotypes of aging: Their effects on the health of older adults,' J. Geriatr., vol. 2015, art. 954027, 2015.</w:t>
      </w:r>
    </w:p>
    <w:p>
      <w:r>
        <w:t>[40] S. J. Barber, 'An examination of age-based stereotype threat about cognitive decline,' Perspect. Psychol. Sci., vol. 12, no. 1, pp. 62-90, 2017.</w:t>
      </w:r>
    </w:p>
    <w:p>
      <w:r>
        <w:t>[41] M. S. McGlone and J. Aronson, 'Stereotype threat, identity salience, and spatial reasoning,' J. Appl. Dev. Psychol., vol. 27, no. 5, pp. 486-493, 2006.</w:t>
      </w:r>
    </w:p>
    <w:p>
      <w:r>
        <w:t>[42] E. von Elm et al., 'STROBE statement: Guidelines for reporting observational studies,' Ann. Intern. Med., vol. 147, no. 8, pp. 573-577, 2007.</w:t>
      </w:r>
    </w:p>
    <w:p>
      <w:r>
        <w:t>[43] X. Liu et al., 'Reporting guidelines for clinical trials evaluating artificial intelligence interventions (SPIRIT-AI/CONSORT-AI),' Nature Med., vol. 26, pp. 1364-1374, 2020.</w:t>
      </w:r>
    </w:p>
    <w:p>
      <w:r>
        <w:t>[44] WHO, 'Ethics and governance of artificial intelligence for health,' Geneva, 2021.</w:t>
      </w:r>
    </w:p>
    <w:p>
      <w:r>
        <w:t>[45] FDA, Health Canada, and MHRA, 'Good Machine Learning Practice for Medical Device Development: Guiding Principles,' 2021.</w:t>
      </w:r>
    </w:p>
    <w:p>
      <w:r>
        <w:t>[46] S. K. T. Tam and C. F. Cheung, "Investigating low utilisation of fall risk assessment among elderly users: A critical review through TAM and Octalysis frameworks with gamification approach," paper SS-293, in Proc. 10th Int. Conf. on Management Engineering, Software Engineering and Service Sciences (ICMSS 2026), Wuhan, China, Mar. 2026, Conference Publishing Services (CPS), in press (IEEE Xplore).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Failure-Induced Abandonment of a Gamified AI-Assisted FRA: Action Research Study</dc:title>
  <dc:subject/>
  <dc:creator>python-docx</dc:creator>
  <cp:keywords/>
  <dc:description>JMIR build; F4 protocol corrected to designed-not-administered.</dc:description>
  <cp:lastModifiedBy/>
  <cp:revision>1</cp:revision>
  <dcterms:created xsi:type="dcterms:W3CDTF">2013-12-23T23:15:00Z</dcterms:created>
  <dcterms:modified xsi:type="dcterms:W3CDTF">2013-12-23T23:15:00Z</dcterms:modified>
  <cp:category/>
</cp:coreProperties>
</file>