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presentation of the activity as a purely-fun coordination game (the invitation disclosed the doctoral research context, including its fall-risk origin, but the game and its instructions carried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In-run difficulty adaptation in the ported build operated through the game's built-in rule agent; no external model calls are possible from a distributed HTML file, so no large-language-model adaptation operated in any Stage-3 session.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The invitation e-mails disclosed the research context, including the programme's fall-risk origin, while presenting the activity itself as a purely-fun coordination game; the game and its instructions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 The programme operates under the ethics policy of The Hong Kong Polytechnic University; the programme was approved by the university's Human Subjects Ethics Sub-Committee (application reference HSEARS20260805008; Principal Investigator: Prof. C. F. Cheung; approved August 2026).</w:t>
      </w:r>
    </w:p>
    <w:p>
      <w:r>
        <w:t>Two recruitment decisions were deliberate. The Stage-2 facility of [2] was not re-used: its residents already carried direct experience of the coupled system, and prior exposure would have contaminated a first-contact test of the decoupled frame,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r>
        <w:rPr/>
        <w:t xml:space="preserve"> Stated at the level of theory, the joint pattern is a candidate boundary condition for gamification theory: the theory holds for this population until the gamified activity is attached to a clinical verdict frame that touches identity-level value, and at that attachment the failure pattern of [2] appears. The randomised comparison is the test that can convert the boundary from candidate to claim.</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the invitation disclosed the programme's fall-risk research origin, so Stage 3 tests artefact-level decoupling rather than concealment of purpose; and no clinical telemetry was collected, so no claim about clinical outcomes under decoupling is made.</w:t>
      </w:r>
      <w:r>
        <w:rPr/>
        <w:t xml:space="preserve"> Two further rivals are named rather than left implicit. Ordinary attrition is frame-indifferent and therefore does not predict the between-cohort difference in post-failure return, though the package confounds above bound that inference. And because the [2] cohort lived with the station - a common-room setting in which a shared narrative about what the machine signifies can circulate - while the present participants played dispersed and alone, the decoupling package also removed the group narrative environment; a collective-narrative account of non-use is therefore conceded as an untested, plausible component of the between-cohort difference, and group-level instrumentation is added to the requirements of the confirmatory study.</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r>
        <w:rPr/>
        <w:t xml:space="preserve"> Since this manuscript was drafted, a first pre-registered element of the wider programme has been launched: a 2x2 field experiment crossing adaptive against static presentation with zero-failure against failure-possible modes in a new community cohort. It tests the adaptive-learning direction of Section V-C rather than the coupling claim; the three-arm study above remains the decisive test of coupling, and its instrumentation now includes a group-level component in response to the collective-narrative rival.</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recruitment language corrected to artefact-level decoupling.</dc:description>
  <cp:lastModifiedBy/>
  <cp:revision>1</cp:revision>
  <dcterms:created xsi:type="dcterms:W3CDTF">2013-12-23T23:15:00Z</dcterms:created>
  <dcterms:modified xsi:type="dcterms:W3CDTF">2013-12-23T23:15:00Z</dcterms:modified>
  <cp:category/>
</cp:coreProperties>
</file>