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(in-session retention 85.4% in the 65-80 band),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highlight w:val="yellow"/>
        </w:rPr>
        <w:t xml:space="preserve"> [AUTHOR CHECK: confirm the Figure 1.1 graphic was regenerated for the title-aligned caption and carries no later-chapter construct names.]</w:t>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highlight w:val="yellow"/>
        </w:rPr>
        <w:t>[AUTHOR INPUT NEEDED: exact installation year]</w:t>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can close any gap between what participants endorse and what they sustain; that question is examined from Chapter 6 onward.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what does this add to an application of acceptance and gamification perspectives?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supports evaluation of subsequent innovation?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the figures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Whether the implemented design realised that expectation is examined prospectively in Chapter 5,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to examine whether engagement in a separate, decoupled implementation is consistent with the frame-sensitive explanation generated after Stage 2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0.0% (25–44) vs 39.0% (65–80), Fisher's exact p &lt; 0.0001;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August 2026</w:t>
            </w:r>
          </w:p>
        </w:tc>
        <w:tc>
          <w:tcPr>
            <w:tcW w:type="dxa" w:w="1994"/>
          </w:tcPr>
          <w:p>
            <w:r>
              <w:t>§3.4</w:t>
            </w:r>
          </w:p>
        </w:tc>
      </w:tr>
      <w:tr>
        <w:trPr>
          <w:cantSplit/>
        </w:trP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r>
        <w:t xml:space="preserve"> The chronology is stated plainly: the application was submitted on 6 August 2026, after the field stages had been conducted, and the approval was granted retrospectively, covering the procedures as conducted and described in this section.</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expressed satisfaction and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highlight w:val="yellow"/>
        </w:rPr>
        <w:t>[AUTHOR CHECK - reconcile with the existing description of after-game paper questionnaires (Appendix C, §5.4): who, if anyone, completed paper instruments, and for which participants?]</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highlight w:val="yellow"/>
        </w:rPr>
        <w:t>[AUTHOR INPUT NEEDED: confirm per-generation development dates and tooling - which build generations (early prototype, deployed Stage-2 build, Stage-3 HTML port, v2.x, v3.x) were developed with which tools and when - for the build-lineage matrix in Appendix G.]</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pre-registered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 xml:space="preserve">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w:t>
      </w:r>
      <w:r>
        <w:rPr>
          <w:highlight w:val="yellow"/>
        </w:rPr>
      </w:r>
      <w:r/>
      <w:r>
        <w:rPr/>
        <w:t>The 'before' value is the index from that participant's first play: no separate game-independent baseline assessment was administered, so both values derive from the same game-mediated measurement pathway and the recorded change is measured from first exposure to last.</w:t>
      </w:r>
      <w:r>
        <w:t xml:space="preserve"> Three consequences are stated plainly: the post-measurement time varies across participants - it is each participant's last play, not a fixed end-of-window date - so pre/post changes span different exposure durations; for single-session participants the recorded change derives from within that single session, the five-attempt structure supplying the within-session measurement points; and any familiarisation effect at first exposure - a first-play value depressed by the novelty of the control mapping - is contained in the measured change and cannot be separated from balance change in these data. No claim of uniform eight-week change is made.</w:t>
      </w:r>
    </w:p>
    <w:p>
      <w:pPr>
        <w:jc w:val="both"/>
      </w:pPr>
      <w:r>
        <w:t>A corresponding caution attaches to the satisfaction and symptom variables. As §3.4 records, they are therapist-mediated and researcher-compiled rather than self-administered: therapists reported their observations in ordinary practice, and the researcher attributed values to individuals when compiling near-daily field notes.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r>
        <w:t xml:space="preserve">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first play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(first play to final play; provenance in §5.5)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trajectory display (L5), the coin-reward loop and the staff coaching protocol (L6).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(L2)</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(L5)</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(L6)</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reported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reported retention was 85.4% and stated regular-use intention was 56.1%, a difference of 29.3 percentage points. These are marginal proportions for different constructs: observed retention and hypothetical future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offered as jointly covering the appraisal chain as this programme has mapped it - a design claim about coverage of the observed chain, not a claim of empirical exhaustiveness or unique necessity - with the principles individually non-redundant,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confirmatory programme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discoveries.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highlight w:val="yellow"/>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in-session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innovation contribution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REVIEW COPY V40 -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(s6.12, H.6); (13) member-checks for Dr Choy's and Dr Lau's summaries; (14) screenshots to re-send as files (dated invitations, Choy/Expert P/Lau WhatsApp chains, the Yuan consent-transmittal e-mail, HSEARS dashboard, ICMSS acceptance letter); (15) final Word field refresh (Ctrl+A, F9) + full verification sweep + proofread. (16) Examiner-style review of 5 Sep 2026 (archived in evidence/): text-level calibration applied in V38 and revised in V39 - stage-role vocabulary (decoupling comparison, not attribution experiment/positive control), candidate-boundary phrasing, H0 framing note, QFD relabelled qualitative requirements mapping, new rivals s8.5.10 (consequence-avoidance) and continuance comparison (Bhattacherjee 2001), s5.3.9 chronology note, Table 9.3 statuses recalibrated. RECORD-DEPENDENT items awaiting the mid-September records: ethics documentary set (memo + authorised scope + basis for all-30 analysis), source-to-result manifest (Appendix G stub), build-lineage matrix (Appendix G stub), participant-journey reconstruction (timestamps/definitions), (FRA index measurement provenance RESOLVED 10 Sep 2026: before = first play's index, after = final play's index; s5.5), instrument reproduction (Appendix A/C/D), denominator reconciliation. Evidence cut-off to be declared when the records land.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