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had three or fewer recorded completed game runs, and none of the 21 has a later recorded run within the study window (0/21; 95% CI 0.0-15.5%) - including three participants whose recorded balance index improved in their single recorded run. The assessment knowledge was generated and captured, yet participation collapsed; whether that knowledge was communicated to participants, and how they responded to it, were not individually recorded and are posed as open questions.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2"/>
      </w:pPr>
      <w:r>
        <w:t>H. Behaviour-Change Lens: COM-B</w:t>
      </w:r>
    </w:p>
    <w:p>
      <w:r>
        <w:t>In COM-B terms (Michie et al., 2011),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Shannon's (1948) notion of entropy is invoked here only as a conceptual lens — the idea that a failure event may collapse an initially open set of beliefs about what the outcome means into a single settled conviction — and no entropy quantity is computed or claimed in this study.</w:t>
      </w:r>
    </w:p>
    <w:p>
      <w:pPr>
        <w:pStyle w:val="Heading2"/>
      </w:pPr>
      <w:r>
        <w:t>J. 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in August 2026, following completion of the June–August 2025 fieldwork; the approval covers the procedures as conducted). [Working-draft note: the exact approval date and the scope wording of the approval memorandum are pending verification against the memo; the application reference number is confirmed.]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with the nine sustained participants, conducted one to two days after the eight-week cycle, and the three centre-manager interviews (Section X), this period consisted of record and analysis work only: it involved no participant follow-up and no further participant contact.</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keepNext/>
        <w:jc w:val="center"/>
      </w:pPr>
      <w:r>
        <w:drawing>
          <wp:inline xmlns:a="http://schemas.openxmlformats.org/drawingml/2006/main" xmlns:pic="http://schemas.openxmlformats.org/drawingml/2006/picture">
            <wp:extent cx="5040000" cy="3278639"/>
            <wp:docPr id="1" name="Picture 1"/>
            <wp:cNvGraphicFramePr>
              <a:graphicFrameLocks noChangeAspect="1"/>
            </wp:cNvGraphicFramePr>
            <a:graphic>
              <a:graphicData uri="http://schemas.openxmlformats.org/drawingml/2006/picture">
                <pic:pic>
                  <pic:nvPicPr>
                    <pic:cNvPr id="0" name="Figure1_FRA_Game_Integration.png"/>
                    <pic:cNvPicPr/>
                  </pic:nvPicPr>
                  <pic:blipFill>
                    <a:blip r:embed="rId9"/>
                    <a:stretch>
                      <a:fillRect/>
                    </a:stretch>
                  </pic:blipFill>
                  <pic:spPr>
                    <a:xfrm>
                      <a:off x="0" y="0"/>
                      <a:ext cx="5040000" cy="3278639"/>
                    </a:xfrm>
                    <a:prstGeom prst="rect"/>
                  </pic:spPr>
                </pic:pic>
              </a:graphicData>
            </a:graphic>
          </wp:inline>
        </w:drawing>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illustrates the presentation across the five difficulty levels; as its caption discloses, the screenshots come from the programme's archived successor build rather than the deployed Stage-2 build itself. Staff were instructed to use phrases such as 'you are practising a new balance skill' in place of 'you are being tested for fall risk'.</w:t>
      </w:r>
    </w:p>
    <w:p>
      <w:pPr>
        <w:keepNext/>
        <w:jc w:val="center"/>
      </w:pPr>
      <w:r>
        <w:drawing>
          <wp:inline xmlns:a="http://schemas.openxmlformats.org/drawingml/2006/main" xmlns:pic="http://schemas.openxmlformats.org/drawingml/2006/picture">
            <wp:extent cx="5040000" cy="3261176"/>
            <wp:docPr id="2" name="Picture 2"/>
            <wp:cNvGraphicFramePr>
              <a:graphicFrameLocks noChangeAspect="1"/>
            </wp:cNvGraphicFramePr>
            <a:graphic>
              <a:graphicData uri="http://schemas.openxmlformats.org/drawingml/2006/picture">
                <pic:pic>
                  <pic:nvPicPr>
                    <pic:cNvPr id="0" name="Figure2_Game_Interface.png"/>
                    <pic:cNvPicPr/>
                  </pic:nvPicPr>
                  <pic:blipFill>
                    <a:blip r:embed="rId10"/>
                    <a:stretch>
                      <a:fillRect/>
                    </a:stretch>
                  </pic:blipFill>
                  <pic:spPr>
                    <a:xfrm>
                      <a:off x="0" y="0"/>
                      <a:ext cx="5040000" cy="3261176"/>
                    </a:xfrm>
                    <a:prstGeom prst="rect"/>
                  </pic:spPr>
                </pic:pic>
              </a:graphicData>
            </a:graphic>
          </wp:inline>
        </w:drawing>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pPr>
        <w:keepNext/>
        <w:jc w:val="center"/>
      </w:pPr>
      <w:r>
        <w:drawing>
          <wp:inline xmlns:a="http://schemas.openxmlformats.org/drawingml/2006/main" xmlns:pic="http://schemas.openxmlformats.org/drawingml/2006/picture">
            <wp:extent cx="5040000" cy="5822070"/>
            <wp:docPr id="3" name="Picture 3"/>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1"/>
                    <a:stretch>
                      <a:fillRect/>
                    </a:stretch>
                  </pic:blipFill>
                  <pic:spPr>
                    <a:xfrm>
                      <a:off x="0" y="0"/>
                      <a:ext cx="5040000" cy="5822070"/>
                    </a:xfrm>
                    <a:prstGeom prst="rect"/>
                  </pic:spPr>
                </pic:pic>
              </a:graphicData>
            </a:graphic>
          </wp:inline>
        </w:drawing>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 the successor build in the same design lineage as the system deployed in this study, not the deployed Stage-2 build itself.</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This layer describes logging capability as designed: the retained study archive preserves completed-cycle counts and session outcomes but no session-level telemetry or timestamps, so the per-cycle quantities listed here characterise the system's design rather than the records retained for analysis (Section VII).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pPr>
        <w:keepNext/>
        <w:jc w:val="center"/>
      </w:pPr>
      <w:r>
        <w:drawing>
          <wp:inline xmlns:a="http://schemas.openxmlformats.org/drawingml/2006/main" xmlns:pic="http://schemas.openxmlformats.org/drawingml/2006/picture">
            <wp:extent cx="5040000" cy="3380890"/>
            <wp:docPr id="4" name="Picture 4"/>
            <wp:cNvGraphicFramePr>
              <a:graphicFrameLocks noChangeAspect="1"/>
            </wp:cNvGraphicFramePr>
            <a:graphic>
              <a:graphicData uri="http://schemas.openxmlformats.org/drawingml/2006/picture">
                <pic:pic>
                  <pic:nvPicPr>
                    <pic:cNvPr id="0" name="Figure4_FiveLayer_Architecture.png"/>
                    <pic:cNvPicPr/>
                  </pic:nvPicPr>
                  <pic:blipFill>
                    <a:blip r:embed="rId12"/>
                    <a:stretch>
                      <a:fillRect/>
                    </a:stretch>
                  </pic:blipFill>
                  <pic:spPr>
                    <a:xfrm>
                      <a:off x="0" y="0"/>
                      <a:ext cx="5040000" cy="3380890"/>
                    </a:xfrm>
                    <a:prstGeom prst="rect"/>
                  </pic:spPr>
                </pic:pic>
              </a:graphicData>
            </a:graphic>
          </wp:inline>
        </w:drawing>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the direction of recorded index change was checked against the symptom-improvement entries as part of verification (Section VII-A).</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Table 2 provides a data dictionary for the archived variables, giving the source of each and the clarifications needed to read it correctly. Three clarifications bear emphasis. First, the exact administered wording, response options and timing of the satisfaction rating have not yet been reproduced from the instrument; the recorded values include 'Very satisfied', 'Satisfied', 'No comments' and 'Dissatisfied', and 'No comments' is not read as a neutral rating. Second, wherever satisfaction enters an analysis as a binary contrast, the second category is defined as all other recorded responses (including 'No comments'), not as 'dissatisfied'. Third, the verified flag records a therapist's check of the recorded contents against their knowledge of the participant: it is an accuracy check on the record, not a measure of self-efficacy or psychological confidence.</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the satisfaction contrast compares recorded ratings of 'Satisfied' or 'Very satisfied' with all other recorded responses (including 'No comments'), not with 'dissatisfied' (Section VII). No time-to-event modelling is used or reported (Section VII-A).</w:t>
      </w:r>
    </w:p>
    <w:p>
      <w:pPr>
        <w:pStyle w:val="Heading2"/>
      </w:pPr>
      <w:r>
        <w:t>B. 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this sample includes one record that could not be verified (Section VII-A), and the sensitivity analysis reported there shows a similar pattern with that record excluded (n = 29: +4.07 points, 95% CI 0.38-7.76; p = 0.032). As noted in Section VII, the paired values arise under different task conditions — a standard-mode assessment at first attendance against the game-generated index from the final attended play — so the recorded change contains any context effect alongside balance change, and exposure duration and endpoint timing differ across participants. A within-deployment change of this size may further include measurement variation, familiarisation and practice effects. Because this was a single-group observational deployment, the design does not isolate the causal effect of gamification; the figures are therefore reported as recorded changes, and a favourable difference does not of itself demonstrate a clinically meaningful benefit.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5 reports the low-engagement group: despite minimal engagement, it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C. 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(Eysenbach, 2005). Eight participants (26.7%) have a single recorded completed run (Figure 5). No time-to-event model is reported: the archive preserves cycle counts, not timestamps. The evidential core of the pattern is carried by the three directly observed quantities in Table 6 and by the satisfaction association above.</w:t>
      </w:r>
    </w:p>
    <w:p>
      <w:pPr>
        <w:keepNext/>
        <w:jc w:val="center"/>
      </w:pPr>
      <w:r>
        <w:drawing>
          <wp:inline xmlns:a="http://schemas.openxmlformats.org/drawingml/2006/main" xmlns:pic="http://schemas.openxmlformats.org/drawingml/2006/picture">
            <wp:extent cx="5040000" cy="3442623"/>
            <wp:docPr id="5" name="Picture 5"/>
            <wp:cNvGraphicFramePr>
              <a:graphicFrameLocks noChangeAspect="1"/>
            </wp:cNvGraphicFramePr>
            <a:graphic>
              <a:graphicData uri="http://schemas.openxmlformats.org/drawingml/2006/picture">
                <pic:pic>
                  <pic:nvPicPr>
                    <pic:cNvPr id="0" name="Figure5_Participant_Flow.png"/>
                    <pic:cNvPicPr/>
                  </pic:nvPicPr>
                  <pic:blipFill>
                    <a:blip r:embed="rId13"/>
                    <a:stretch>
                      <a:fillRect/>
                    </a:stretch>
                  </pic:blipFill>
                  <pic:spPr>
                    <a:xfrm>
                      <a:off x="0" y="0"/>
                      <a:ext cx="5040000" cy="3442623"/>
                    </a:xfrm>
                    <a:prstGeom prst="rect"/>
                  </pic:spPr>
                </pic:pic>
              </a:graphicData>
            </a:graphic>
          </wp:inline>
        </w:drawing>
      </w:r>
    </w:p>
    <w:p>
      <w:r>
        <w:rPr>
          <w:i/>
          <w:sz w:val="18"/>
        </w:rPr>
        <w:t>Figure 5. Participant flow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1"/>
      </w:pPr>
      <w:r>
        <w:t>IX. Qualitative Coding and the FIAS Composite</w:t>
      </w:r>
    </w:p>
    <w:p>
      <w:r>
        <w:t>All 30 participants were coded with thirteen binary attributes (Table 7)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8;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pPr>
        <w:keepNext/>
        <w:jc w:val="center"/>
      </w:pPr>
      <w:r>
        <w:drawing>
          <wp:inline xmlns:a="http://schemas.openxmlformats.org/drawingml/2006/main" xmlns:pic="http://schemas.openxmlformats.org/drawingml/2006/picture">
            <wp:extent cx="5040000" cy="2974668"/>
            <wp:docPr id="6" name="Picture 6"/>
            <wp:cNvGraphicFramePr>
              <a:graphicFrameLocks noChangeAspect="1"/>
            </wp:cNvGraphicFramePr>
            <a:graphic>
              <a:graphicData uri="http://schemas.openxmlformats.org/drawingml/2006/picture">
                <pic:pic>
                  <pic:nvPicPr>
                    <pic:cNvPr id="0" name="Figure6_FIAS_Composite_Distribution.png"/>
                    <pic:cNvPicPr/>
                  </pic:nvPicPr>
                  <pic:blipFill>
                    <a:blip r:embed="rId14"/>
                    <a:stretch>
                      <a:fillRect/>
                    </a:stretch>
                  </pic:blipFill>
                  <pic:spPr>
                    <a:xfrm>
                      <a:off x="0" y="0"/>
                      <a:ext cx="5040000" cy="2974668"/>
                    </a:xfrm>
                    <a:prstGeom prst="rect"/>
                  </pic:spPr>
                </pic:pic>
              </a:graphicData>
            </a:graphic>
          </wp:inline>
        </w:drawing>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pPr>
        <w:jc w:val="both"/>
      </w:pPr>
      <w:r>
        <w:t>The qualitative record on the persistence side comprises the post-deployment interviews with the nine sustained participants, conducted one to two days after the eight-week cycle using a paper interview questionnaire (Mandarin or Cantonese at the participant's preference; the researcher's contemporaneous notes are the primary record), together with three centre-manager interviews.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A nine-question semi-structured interview protocol was designed for F4-cluster participants, to probe within days of a participant's last recorded run whether the decision to stop was immediate or deliberate (Table 9);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8).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nine who sustained engagement — a subgroup defined by subsequent participation — the recorded change was +6.9 FRA index points (95% CI 4.5-9.3; dz = 2.22), with all nine satisfied or very satisfied; across all thirty, +4.0 points (95% CI 0.5-7.6). These are recorded within-deployment changes rather than demonstrated effects of gamification: the design does not isolate gamification's causal contribution, and a favourable recorded difference does not of itself demonstrate clinically meaningful benefit (Section VIII-B).</w:t>
      </w:r>
    </w:p>
    <w:p>
      <w:pPr>
        <w:pStyle w:val="Heading2"/>
      </w:pPr>
      <w:r>
        <w:t>B. RQ2: Why Does Abandonment Persist?</w:t>
      </w:r>
    </w:p>
    <w:p>
      <w:r>
        <w:t>The pattern has three defining features. It is early: 70.0% of participants have three or fewer recorded completed runs, and 26.7% have one. It is absolute within the window: none of the 21 has a later recorded run (95% CI 0.0-15.5%), unlike ordinary usage attrition (Eysenbach, 2005).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Table 10 assembles this qualitative record systematically, pairing each finding with the record that supports it and with the principal alternative interpretation. The designed F4 interview protocol was never administered (Section X), so no F4 interview material appears; contradictory cases are retained in the table rather than reconciled away.</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pPr>
        <w:keepNext/>
        <w:jc w:val="center"/>
      </w:pPr>
      <w:r>
        <w:drawing>
          <wp:inline xmlns:a="http://schemas.openxmlformats.org/drawingml/2006/main" xmlns:pic="http://schemas.openxmlformats.org/drawingml/2006/picture">
            <wp:extent cx="5040000" cy="6061622"/>
            <wp:docPr id="7" name="Picture 7"/>
            <wp:cNvGraphicFramePr>
              <a:graphicFrameLocks noChangeAspect="1"/>
            </wp:cNvGraphicFramePr>
            <a:graphic>
              <a:graphicData uri="http://schemas.openxmlformats.org/drawingml/2006/picture">
                <pic:pic>
                  <pic:nvPicPr>
                    <pic:cNvPr id="0" name="Figure7_FIDS_FIAS_Mechanism.png"/>
                    <pic:cNvPicPr/>
                  </pic:nvPicPr>
                  <pic:blipFill>
                    <a:blip r:embed="rId15"/>
                    <a:stretch>
                      <a:fillRect/>
                    </a:stretch>
                  </pic:blipFill>
                  <pic:spPr>
                    <a:xfrm>
                      <a:off x="0" y="0"/>
                      <a:ext cx="5040000" cy="6061622"/>
                    </a:xfrm>
                    <a:prstGeom prst="rect"/>
                  </pic:spPr>
                </pic:pic>
              </a:graphicData>
            </a:graphic>
          </wp:inline>
        </w:drawing>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One further record is reported as unverified (Section VII-A): the participant could not subsequently be identified and located for verification, and the reason for her non-return is unknown. The record is retained in the primary analysis on provenance grounds, is not cited as evidence of failure-induced abandonment, and the sensitivity analysis in Section VII-A shows a similar pattern with and without it (+4.03 versus +4.07 points; Fisher's exact p = 0.013 versus 0.027).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pPr>
        <w:keepNext/>
        <w:jc w:val="center"/>
      </w:pPr>
      <w:r>
        <w:drawing>
          <wp:inline xmlns:a="http://schemas.openxmlformats.org/drawingml/2006/main" xmlns:pic="http://schemas.openxmlformats.org/drawingml/2006/picture">
            <wp:extent cx="5040000" cy="4530909"/>
            <wp:docPr id="8" name="Picture 8"/>
            <wp:cNvGraphicFramePr>
              <a:graphicFrameLocks noChangeAspect="1"/>
            </wp:cNvGraphicFramePr>
            <a:graphic>
              <a:graphicData uri="http://schemas.openxmlformats.org/drawingml/2006/picture">
                <pic:pic>
                  <pic:nvPicPr>
                    <pic:cNvPr id="0" name="Figure8_ThreeArm_Study_Design.png"/>
                    <pic:cNvPicPr/>
                  </pic:nvPicPr>
                  <pic:blipFill>
                    <a:blip r:embed="rId16"/>
                    <a:stretch>
                      <a:fillRect/>
                    </a:stretch>
                  </pic:blipFill>
                  <pic:spPr>
                    <a:xfrm>
                      <a:off x="0" y="0"/>
                      <a:ext cx="5040000" cy="4530909"/>
                    </a:xfrm>
                    <a:prstGeom prst="rect"/>
                  </pic:spPr>
                </pic:pic>
              </a:graphicData>
            </a:graphic>
          </wp:inline>
        </w:drawing>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Declarations</w:t>
      </w:r>
    </w:p>
    <w:p>
      <w:pPr>
        <w:jc w:val="both"/>
      </w:pPr>
      <w:r>
        <w:t>Funding. [FUNDING STATEMENT TO BE CONFIRMED BY THE AUTHORS: no external funding or programme support has been recorded for this study — please confirm, or supply the applicable funding acknowledgement.]</w:t>
      </w:r>
    </w:p>
    <w:p>
      <w:pPr>
        <w:jc w:val="both"/>
      </w:pPr>
      <w:r>
        <w:t>Conflicts of interest. [CONFLICTS-OF-INTEREST STATEMENT TO BE CONFIRMED BY THE AUTHORS: the first author is a part-time EngD candidate; the study was conducted in partnership with an industrial partner (Dr Migar), and the characterisation of that relationship is at draft-review level — please confirm the final wording, including any interests arising from the industrial partnership.]</w:t>
      </w:r>
    </w:p>
    <w:p>
      <w:pPr>
        <w:jc w:val="both"/>
      </w:pPr>
      <w:r>
        <w:t>Data availability. The pseudonymised participant-level dataset underlying this paper is archived with the first author's thesis (Appendix G, item G.2) and is available from the corresponding author on reasonable request, subject to the ethics constraints governing the study.</w:t>
      </w:r>
    </w:p>
    <w:p>
      <w:pPr>
        <w:jc w:val="both"/>
      </w:pPr>
      <w:r>
        <w:t>Use of artificial intelligence. Anthropic's Claude Code was used as an engineering assistant during system development; the engineering decisions remain the developers' own. AI-assisted drafting and editing tools were also used in the preparation of this manuscript; all AI-assisted text was reviewed, verified and approved by the authors, who take full responsibility for the content.</w:t>
      </w:r>
    </w:p>
    <w:p>
      <w:pPr>
        <w:jc w:val="both"/>
      </w:pPr>
      <w:r>
        <w:t>Related publications. Paper SS-293 (Tam &amp; Cheung, 2026), accepted at ICMSS 2026, reports the Stage-1 critical review of the wider research programme; a companion manuscript reports the Stage-3 decoupled deployment; the present paper reports the Stage-2 gamified deployment. No results are duplicated across the three manuscripts.</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pPr>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 https://doi.org/10.2196/jmir.8775</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