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5. Coding scheme (abbreviated; 8 of 13 attributes).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Coding rule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Symptom improvement AND FRA index improved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Perceived clinical usefulness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STAM-PEOU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 AND cycles ≥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Continuation-intention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3 AND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Self-efficacy through repeated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≤ Dissatisfied OR (1 cycle AND no improvement)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Anxiety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 (Accomplishment)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4 AND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Progress achieved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D5− (Neg. social)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≤ 2 AND no improvement AND satisfaction ≤ Neutral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withdrawal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D8 (Loss/avoidance)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cycle AND no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Loss-aversion exit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