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14:paraId="1EB3E3CA" w14:textId="77777777" w:rsidR="00FD5D21" w:rsidRDefault="00FD5D21">
      <w:pPr>
        <w:pStyle w:val="TOC1"/>
        <w:tabs>
          <w:tab w:val="right" w:leader="dot" w:pos="8495"/>
        </w:tabs>
        <w:rPr>
          <w:noProof/>
        </w:rPr>
      </w:pPr>
      <w:r>
        <w:t>Chapter 4 Stage 1 — From FIDS to FIAS</w:t>
        <w:tab/>
        <w:t>28</w:t>
      </w:r>
    </w:p>
    <w:p w14:paraId="76367507" w14:textId="77777777" w:rsidR="00FD5D21" w:rsidRDefault="00FD5D21">
      <w:pPr>
        <w:pStyle w:val="TOC2"/>
        <w:tabs>
          <w:tab w:val="right" w:leader="dot" w:pos="8495"/>
        </w:tabs>
        <w:rPr>
          <w:noProof/>
        </w:rPr>
      </w:pPr>
      <w:r>
        <w:t>4.1 Purpose</w:t>
        <w:tab/>
        <w:t>28</w:t>
      </w:r>
    </w:p>
    <w:p w14:paraId="223473AC" w14:textId="77777777" w:rsidR="00FD5D21" w:rsidRDefault="00FD5D21">
      <w:pPr>
        <w:pStyle w:val="TOC2"/>
        <w:tabs>
          <w:tab w:val="right" w:leader="dot" w:pos="8495"/>
        </w:tabs>
        <w:rPr>
          <w:noProof/>
        </w:rPr>
      </w:pPr>
      <w:r>
        <w:t>4.1A What is Fall Risk Assessment (FRA)? Basic System Design and Features</w:t>
        <w:tab/>
        <w:t>29</w:t>
      </w:r>
    </w:p>
    <w:p w14:paraId="51465723" w14:textId="77777777" w:rsidR="00FD5D21" w:rsidRDefault="00FD5D21">
      <w:pPr>
        <w:pStyle w:val="TOC2"/>
        <w:tabs>
          <w:tab w:val="right" w:leader="dot" w:pos="8495"/>
        </w:tabs>
        <w:rPr>
          <w:noProof/>
        </w:rPr>
      </w:pPr>
      <w:r>
        <w:t>4.2 The Guangzhou Survey (N = 200 of 280 Residents)</w:t>
        <w:tab/>
        <w:t>31</w:t>
      </w:r>
    </w:p>
    <w:p w14:paraId="1289C8C3" w14:textId="77777777" w:rsidR="00FD5D21" w:rsidRDefault="00FD5D21">
      <w:pPr>
        <w:pStyle w:val="TOC2"/>
        <w:tabs>
          <w:tab w:val="right" w:leader="dot" w:pos="8495"/>
        </w:tabs>
        <w:rPr>
          <w:noProof/>
        </w:rPr>
      </w:pPr>
      <w:r>
        <w:t>4.3 TAM, STAM and the Limitation for Retired Users</w:t>
        <w:tab/>
        <w:t>32</w:t>
      </w:r>
    </w:p>
    <w:p w14:paraId="4AE79BA9" w14:textId="77777777" w:rsidR="00FD5D21" w:rsidRDefault="00FD5D21">
      <w:pPr>
        <w:pStyle w:val="TOC2"/>
        <w:tabs>
          <w:tab w:val="right" w:leader="dot" w:pos="8495"/>
        </w:tabs>
        <w:rPr>
          <w:noProof/>
        </w:rPr>
      </w:pPr>
      <w:r>
        <w:t>4.4 Octalysis and the In-Game Loss Assumption</w:t>
        <w:tab/>
        <w:t>32</w:t>
      </w:r>
    </w:p>
    <w:p w14:paraId="324B6C6D" w14:textId="77777777" w:rsidR="00FD5D21" w:rsidRDefault="00FD5D21">
      <w:pPr>
        <w:pStyle w:val="TOC2"/>
        <w:tabs>
          <w:tab w:val="right" w:leader="dot" w:pos="8495"/>
        </w:tabs>
        <w:rPr>
          <w:noProof/>
        </w:rPr>
      </w:pPr>
      <w:r>
        <w:t>4.5 Behavioural Science Lenses</w:t>
        <w:tab/>
        <w:t>33</w:t>
      </w:r>
    </w:p>
    <w:p w14:paraId="128B56C2" w14:textId="77777777" w:rsidR="00FD5D21" w:rsidRDefault="00FD5D21">
      <w:pPr>
        <w:pStyle w:val="TOC2"/>
        <w:tabs>
          <w:tab w:val="right" w:leader="dot" w:pos="8495"/>
        </w:tabs>
        <w:rPr>
          <w:noProof/>
        </w:rPr>
      </w:pPr>
      <w:r>
        <w:t>4.6 Terminological Correction: FIDS to FIAS</w:t>
        <w:tab/>
        <w:t>33</w:t>
      </w:r>
    </w:p>
    <w:p w14:paraId="068C1D0F" w14:textId="77777777" w:rsidR="00FD5D21" w:rsidRDefault="00FD5D21">
      <w:pPr>
        <w:pStyle w:val="TOC2"/>
        <w:tabs>
          <w:tab w:val="right" w:leader="dot" w:pos="8495"/>
        </w:tabs>
        <w:rPr>
          <w:noProof/>
        </w:rPr>
      </w:pPr>
      <w:r>
        <w:t>4.7 Cross-Cultural Reference Point</w:t>
        <w:tab/>
        <w:t>34</w:t>
      </w:r>
    </w:p>
    <w:p w14:paraId="48436DFD" w14:textId="77777777" w:rsidR="00FD5D21" w:rsidRDefault="00FD5D21">
      <w:pPr>
        <w:pStyle w:val="TOC2"/>
        <w:tabs>
          <w:tab w:val="right" w:leader="dot" w:pos="8495"/>
        </w:tabs>
        <w:rPr>
          <w:noProof/>
        </w:rPr>
      </w:pPr>
      <w:r>
        <w:t>4.8 Output and Stage-1 Limitations</w:t>
        <w:tab/>
        <w:t>34</w:t>
      </w:r>
    </w:p>
    <w:p w14:paraId="5DDF5CD3" w14:textId="77777777" w:rsidR="00FD5D21" w:rsidRDefault="00FD5D21">
      <w:pPr>
        <w:pStyle w:val="TOC1"/>
        <w:tabs>
          <w:tab w:val="right" w:leader="dot" w:pos="8495"/>
        </w:tabs>
        <w:rPr>
          <w:noProof/>
        </w:rPr>
      </w:pPr>
      <w:r>
        <w:t>Chapter 5 Stage 2 — Action Research with Gamified FRA</w:t>
        <w:tab/>
        <w:t>35</w:t>
      </w:r>
    </w:p>
    <w:p w14:paraId="5CF8E34B" w14:textId="77777777" w:rsidR="00FD5D21" w:rsidRDefault="00FD5D21">
      <w:pPr>
        <w:pStyle w:val="TOC2"/>
        <w:tabs>
          <w:tab w:val="right" w:leader="dot" w:pos="8495"/>
        </w:tabs>
        <w:rPr>
          <w:noProof/>
        </w:rPr>
      </w:pPr>
      <w:r>
        <w:t>5.1 Research Questions and Hypotheses</w:t>
        <w:tab/>
        <w:t>35</w:t>
      </w:r>
    </w:p>
    <w:p w14:paraId="53348983" w14:textId="77777777" w:rsidR="00FD5D21" w:rsidRDefault="00FD5D21">
      <w:pPr>
        <w:pStyle w:val="TOC2"/>
        <w:tabs>
          <w:tab w:val="right" w:leader="dot" w:pos="8495"/>
        </w:tabs>
        <w:rPr>
          <w:noProof/>
        </w:rPr>
      </w:pPr>
      <w:r>
        <w:lastRenderedPageBreak/>
        <w:t>5.2 Setting and Action-Research Approach</w:t>
        <w:tab/>
        <w:t>35</w:t>
      </w:r>
    </w:p>
    <w:p w14:paraId="218C5B8E" w14:textId="77777777" w:rsidR="00FD5D21" w:rsidRDefault="00FD5D21">
      <w:pPr>
        <w:pStyle w:val="TOC2"/>
        <w:tabs>
          <w:tab w:val="right" w:leader="dot" w:pos="8495"/>
        </w:tabs>
        <w:rPr>
          <w:noProof/>
        </w:rPr>
      </w:pPr>
      <w:r>
        <w:t>5.2A Integrating the FRA into the Skiing Game: The Dual-Purpose Mechanic in Detail</w:t>
        <w:tab/>
        <w:t>36</w:t>
      </w:r>
    </w:p>
    <w:p w14:paraId="20A11ED2" w14:textId="77777777" w:rsidR="00FD5D21" w:rsidRDefault="00FD5D21">
      <w:pPr>
        <w:pStyle w:val="TOC2"/>
        <w:tabs>
          <w:tab w:val="right" w:leader="dot" w:pos="8495"/>
        </w:tabs>
        <w:rPr>
          <w:noProof/>
        </w:rPr>
      </w:pPr>
      <w:r>
        <w:t>5.3 The Gamified Intervention — Skiing Game on the InBody Pressure Panel</w:t>
        <w:tab/>
        <w:t>39</w:t>
      </w:r>
    </w:p>
    <w:p w14:paraId="602815A9" w14:textId="77777777" w:rsidR="00FD5D21" w:rsidRDefault="00FD5D21">
      <w:pPr>
        <w:pStyle w:val="TOC3"/>
        <w:tabs>
          <w:tab w:val="right" w:leader="dot" w:pos="8495"/>
        </w:tabs>
        <w:rPr>
          <w:noProof/>
        </w:rPr>
      </w:pPr>
      <w:r>
        <w:t>5.3.1 The InBody Pressure Panel</w:t>
        <w:tab/>
        <w:t>40</w:t>
      </w:r>
    </w:p>
    <w:p w14:paraId="7CD3D726" w14:textId="77777777" w:rsidR="00FD5D21" w:rsidRDefault="00FD5D21">
      <w:pPr>
        <w:pStyle w:val="TOC3"/>
        <w:tabs>
          <w:tab w:val="right" w:leader="dot" w:pos="8495"/>
        </w:tabs>
        <w:rPr>
          <w:noProof/>
        </w:rPr>
      </w:pPr>
      <w:r>
        <w:t>5.3.2 Game Concept and Gameplay Loop</w:t>
        <w:tab/>
        <w:t>40</w:t>
      </w:r>
    </w:p>
    <w:p w14:paraId="65F1B614" w14:textId="77777777" w:rsidR="00FD5D21" w:rsidRDefault="00FD5D21">
      <w:pPr>
        <w:pStyle w:val="TOC3"/>
        <w:tabs>
          <w:tab w:val="right" w:leader="dot" w:pos="8495"/>
        </w:tabs>
        <w:rPr>
          <w:noProof/>
        </w:rPr>
      </w:pPr>
      <w:r>
        <w:t>5.3.3 On-Screen Display</w:t>
        <w:tab/>
        <w:t>40</w:t>
      </w:r>
    </w:p>
    <w:p w14:paraId="04E2FF0D" w14:textId="77777777" w:rsidR="00FD5D21" w:rsidRDefault="00FD5D21">
      <w:pPr>
        <w:pStyle w:val="TOC3"/>
        <w:tabs>
          <w:tab w:val="right" w:leader="dot" w:pos="8495"/>
        </w:tabs>
        <w:rPr>
          <w:noProof/>
        </w:rPr>
      </w:pPr>
      <w:r>
        <w:t>5.3.4 Five-Layer Architecture</w:t>
        <w:tab/>
        <w:t>41</w:t>
      </w:r>
    </w:p>
    <w:p w14:paraId="135F4AC6" w14:textId="77777777" w:rsidR="00FD5D21" w:rsidRDefault="00FD5D21">
      <w:pPr>
        <w:pStyle w:val="TOC3"/>
        <w:tabs>
          <w:tab w:val="right" w:leader="dot" w:pos="8495"/>
        </w:tabs>
        <w:rPr>
          <w:noProof/>
        </w:rPr>
      </w:pPr>
      <w:r>
        <w:t>5.3.5 Automatic Difficulty Adjustment System</w:t>
        <w:tab/>
        <w:t>42</w:t>
      </w:r>
    </w:p>
    <w:p w14:paraId="49C4587C" w14:textId="77777777" w:rsidR="00FD5D21" w:rsidRDefault="00FD5D21">
      <w:pPr>
        <w:pStyle w:val="TOC3"/>
        <w:tabs>
          <w:tab w:val="right" w:leader="dot" w:pos="8495"/>
        </w:tabs>
        <w:rPr>
          <w:noProof/>
        </w:rPr>
      </w:pPr>
      <w:r>
        <w:t>5.3.6 Data Structures and Telemetry</w:t>
        <w:tab/>
        <w:t>43</w:t>
      </w:r>
    </w:p>
    <w:p w14:paraId="0C835CA0" w14:textId="77777777" w:rsidR="00FD5D21" w:rsidRDefault="00FD5D21">
      <w:pPr>
        <w:pStyle w:val="TOC3"/>
        <w:tabs>
          <w:tab w:val="right" w:leader="dot" w:pos="8495"/>
        </w:tabs>
        <w:rPr>
          <w:noProof/>
        </w:rPr>
      </w:pPr>
      <w:r>
        <w:t>5.3.7 Sample User Profile</w:t>
        <w:tab/>
        <w:t>43</w:t>
      </w:r>
    </w:p>
    <w:p w14:paraId="268515DB" w14:textId="77777777" w:rsidR="00FD5D21" w:rsidRDefault="00FD5D21">
      <w:pPr>
        <w:pStyle w:val="TOC3"/>
        <w:tabs>
          <w:tab w:val="right" w:leader="dot" w:pos="8495"/>
        </w:tabs>
        <w:rPr>
          <w:noProof/>
        </w:rPr>
      </w:pPr>
      <w:r>
        <w:t>5.3.8 Why a Skiing Game?</w:t>
        <w:tab/>
        <w:t>44</w:t>
      </w:r>
    </w:p>
    <w:p w14:paraId="5AA44115" w14:textId="77777777" w:rsidR="00FD5D21" w:rsidRDefault="00FD5D21">
      <w:pPr>
        <w:pStyle w:val="TOC3"/>
        <w:tabs>
          <w:tab w:val="right" w:leader="dot" w:pos="8495"/>
        </w:tabs>
        <w:rPr>
          <w:noProof/>
        </w:rPr>
      </w:pPr>
      <w:r>
        <w:t>5.3.9 Development Methodology: The Claude Code-Assisted Workflow</w:t>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tab/>
        <w:t>46</w:t>
      </w:r>
    </w:p>
    <w:p w14:paraId="3FCD6178" w14:textId="77777777" w:rsidR="00FD5D21" w:rsidRDefault="00FD5D21">
      <w:pPr>
        <w:pStyle w:val="TOC2"/>
        <w:tabs>
          <w:tab w:val="right" w:leader="dot" w:pos="8495"/>
        </w:tabs>
        <w:rPr>
          <w:noProof/>
        </w:rPr>
      </w:pPr>
      <w:r>
        <w:t>5.4 Participants and Data Governance</w:t>
        <w:tab/>
        <w:t>48</w:t>
      </w:r>
    </w:p>
    <w:p w14:paraId="45211AF9" w14:textId="77777777" w:rsidR="00FD5D21" w:rsidRDefault="00FD5D21">
      <w:pPr>
        <w:pStyle w:val="TOC2"/>
        <w:tabs>
          <w:tab w:val="right" w:leader="dot" w:pos="8495"/>
        </w:tabs>
        <w:rPr>
          <w:noProof/>
        </w:rPr>
      </w:pPr>
      <w:r>
        <w:t>5.5 Quantitative Findings</w:t>
        <w:tab/>
        <w:t>48</w:t>
      </w:r>
    </w:p>
    <w:p w14:paraId="2214AF41" w14:textId="77777777" w:rsidR="00FD5D21" w:rsidRDefault="00FD5D21">
      <w:pPr>
        <w:pStyle w:val="TOC2"/>
        <w:tabs>
          <w:tab w:val="right" w:leader="dot" w:pos="8495"/>
        </w:tabs>
        <w:rPr>
          <w:noProof/>
        </w:rPr>
      </w:pPr>
      <w:r>
        <w:t>5.6 The F4 Cluster and the Objective-Score-Improvement/Non-Return Paradox</w:t>
        <w:tab/>
        <w:t>50</w:t>
      </w:r>
    </w:p>
    <w:p w14:paraId="0E942091" w14:textId="77777777" w:rsidR="00FD5D21" w:rsidRDefault="00FD5D21">
      <w:pPr>
        <w:pStyle w:val="TOC2"/>
        <w:tabs>
          <w:tab w:val="right" w:leader="dot" w:pos="8495"/>
        </w:tabs>
        <w:rPr>
          <w:noProof/>
        </w:rPr>
      </w:pPr>
      <w:r>
        <w:t>5.7 Theoretical Extension: Endowment, Stereotype Threat, Domain Reframing</w:t>
        <w:tab/>
        <w:t>51</w:t>
      </w:r>
    </w:p>
    <w:p w14:paraId="63B206E2" w14:textId="77777777" w:rsidR="00FD5D21" w:rsidRDefault="00FD5D21">
      <w:pPr>
        <w:pStyle w:val="TOC2"/>
        <w:tabs>
          <w:tab w:val="right" w:leader="dot" w:pos="8495"/>
        </w:tabs>
        <w:rPr>
          <w:noProof/>
        </w:rPr>
      </w:pPr>
      <w:r>
        <w:t>5.8 Information-Entropy Lens</w:t>
        <w:tab/>
        <w:t>52</w:t>
      </w:r>
    </w:p>
    <w:p w14:paraId="3FBEEC62" w14:textId="77777777" w:rsidR="00FD5D21" w:rsidRDefault="00FD5D21">
      <w:pPr>
        <w:pStyle w:val="TOC2"/>
        <w:tabs>
          <w:tab w:val="right" w:leader="dot" w:pos="8495"/>
        </w:tabs>
        <w:rPr>
          <w:noProof/>
        </w:rPr>
      </w:pPr>
      <w:r>
        <w:t>5.9 Limitations and What Stage 2 Establishes</w:t>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tab/>
        <w:t>54</w:t>
      </w:r>
    </w:p>
    <w:p w14:paraId="21F096B2" w14:textId="77777777" w:rsidR="00FD5D21" w:rsidRDefault="00FD5D21">
      <w:pPr>
        <w:pStyle w:val="TOC2"/>
        <w:tabs>
          <w:tab w:val="right" w:leader="dot" w:pos="8495"/>
        </w:tabs>
        <w:rPr>
          <w:noProof/>
        </w:rPr>
      </w:pPr>
      <w:r>
        <w:t>6.1 Why a Decoupling Stage</w:t>
        <w:tab/>
        <w:t>54</w:t>
      </w:r>
    </w:p>
    <w:p w14:paraId="25D1F2BF" w14:textId="77777777" w:rsidR="00FD5D21" w:rsidRDefault="00FD5D21">
      <w:pPr>
        <w:pStyle w:val="TOC2"/>
        <w:tabs>
          <w:tab w:val="right" w:leader="dot" w:pos="8495"/>
        </w:tabs>
        <w:rPr>
          <w:noProof/>
        </w:rPr>
      </w:pPr>
      <w:r>
        <w:t>6.2 Research Question and Predictions</w:t>
        <w:tab/>
        <w:t>54</w:t>
      </w:r>
    </w:p>
    <w:p w14:paraId="025A5930" w14:textId="77777777" w:rsidR="00FD5D21" w:rsidRDefault="00FD5D21">
      <w:pPr>
        <w:pStyle w:val="TOC2"/>
        <w:tabs>
          <w:tab w:val="right" w:leader="dot" w:pos="8495"/>
        </w:tabs>
        <w:rPr>
          <w:noProof/>
        </w:rPr>
      </w:pPr>
      <w:r>
        <w:t>6.3 Methodology: A Participant-Facing Decoupling Package in a Separate Cohort</w:t>
        <w:tab/>
        <w:t>54</w:t>
      </w:r>
    </w:p>
    <w:p w14:paraId="5F1C4B12" w14:textId="77777777" w:rsidR="00FD5D21" w:rsidRDefault="00FD5D21">
      <w:pPr>
        <w:pStyle w:val="TOC2"/>
        <w:tabs>
          <w:tab w:val="right" w:leader="dot" w:pos="8495"/>
        </w:tabs>
        <w:rPr>
          <w:noProof/>
        </w:rPr>
      </w:pPr>
      <w:r>
        <w:t>6.4 Participants and Apparatus</w:t>
        <w:tab/>
        <w:t>55</w:t>
      </w:r>
    </w:p>
    <w:p w14:paraId="5B78DA11" w14:textId="77777777" w:rsidR="00FD5D21" w:rsidRDefault="00FD5D21">
      <w:pPr>
        <w:pStyle w:val="TOC2"/>
        <w:tabs>
          <w:tab w:val="right" w:leader="dot" w:pos="8495"/>
        </w:tabs>
        <w:rPr>
          <w:noProof/>
        </w:rPr>
      </w:pPr>
      <w:r>
        <w:t>6.5 Findings: A Substantial Behavioural Shift</w:t>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tab/>
        <w:t>57</w:t>
      </w:r>
    </w:p>
    <w:p w14:paraId="698D63E6" w14:textId="77777777" w:rsidR="00FD5D21" w:rsidRDefault="00FD5D21">
      <w:pPr>
        <w:pStyle w:val="TOC2"/>
        <w:tabs>
          <w:tab w:val="right" w:leader="dot" w:pos="8495"/>
        </w:tabs>
        <w:rPr>
          <w:noProof/>
        </w:rPr>
      </w:pPr>
      <w:r>
        <w:t>6.7 Frame-Sensitive versus Dispositional Accounts: Calibrated Inference</w:t>
        <w:tab/>
        <w:t>58</w:t>
      </w:r>
    </w:p>
    <w:p w14:paraId="703E60AB" w14:textId="77777777" w:rsidR="00FD5D21" w:rsidRDefault="00FD5D21">
      <w:pPr>
        <w:pStyle w:val="TOC2"/>
        <w:tabs>
          <w:tab w:val="right" w:leader="dot" w:pos="8495"/>
        </w:tabs>
        <w:rPr>
          <w:noProof/>
        </w:rPr>
      </w:pPr>
      <w:r>
        <w:t>6.8 The Commitment Gap and Its Design Implication</w:t>
        <w:tab/>
        <w:t>58</w:t>
      </w:r>
    </w:p>
    <w:p>
      <w:pPr>
        <w:pStyle w:val="TOC2"/>
      </w:pPr>
      <w:r>
        <w:t>6.8A The Commitment Gap Read Through Group Dynamics: An Expert Consultation</w:t>
        <w:tab/>
        <w:t>59</w:t>
      </w:r>
    </w:p>
    <w:p w14:paraId="240F7277" w14:textId="77777777" w:rsidR="00FD5D21" w:rsidRDefault="00FD5D21">
      <w:pPr>
        <w:pStyle w:val="TOC2"/>
        <w:tabs>
          <w:tab w:val="right" w:leader="dot" w:pos="8495"/>
        </w:tabs>
        <w:rPr>
          <w:noProof/>
        </w:rPr>
      </w:pPr>
      <w:r>
        <w:t>6.9 Limitations of Stage 3</w:t>
        <w:tab/>
        <w:t>59</w:t>
      </w:r>
    </w:p>
    <w:p w14:paraId="7FA6F9BF" w14:textId="77777777" w:rsidR="00FD5D21" w:rsidRDefault="00FD5D21">
      <w:pPr>
        <w:pStyle w:val="TOC2"/>
        <w:tabs>
          <w:tab w:val="right" w:leader="dot" w:pos="8495"/>
        </w:tabs>
        <w:rPr>
          <w:noProof/>
        </w:rPr>
      </w:pPr>
      <w:r>
        <w:t>6.10 Quantitative Comparison Against Existing Models</w:t>
        <w:tab/>
        <w:t>59</w:t>
      </w:r>
    </w:p>
    <w:p w14:paraId="43C80F45" w14:textId="77777777" w:rsidR="00FD5D21" w:rsidRDefault="00FD5D21">
      <w:pPr>
        <w:pStyle w:val="TOC3"/>
        <w:tabs>
          <w:tab w:val="right" w:leader="dot" w:pos="8495"/>
        </w:tabs>
        <w:rPr>
          <w:noProof/>
        </w:rPr>
      </w:pPr>
      <w:r>
        <w:t>6.10.1 Three-Tier Nested Model Specification</w:t>
        <w:tab/>
        <w:t>60</w:t>
      </w:r>
    </w:p>
    <w:p w14:paraId="6CFE9FB5" w14:textId="77777777" w:rsidR="00FD5D21" w:rsidRDefault="00FD5D21">
      <w:pPr>
        <w:pStyle w:val="TOC3"/>
        <w:tabs>
          <w:tab w:val="right" w:leader="dot" w:pos="8495"/>
        </w:tabs>
        <w:rPr>
          <w:noProof/>
        </w:rPr>
      </w:pPr>
      <w:r>
        <w:t>6.10.2 Statistical Comparison Plan</w:t>
        <w:tab/>
        <w:t>61</w:t>
      </w:r>
    </w:p>
    <w:p w14:paraId="7F41D431" w14:textId="77777777" w:rsidR="00FD5D21" w:rsidRDefault="00FD5D21">
      <w:pPr>
        <w:pStyle w:val="TOC3"/>
        <w:tabs>
          <w:tab w:val="right" w:leader="dot" w:pos="8495"/>
        </w:tabs>
        <w:rPr>
          <w:noProof/>
        </w:rPr>
      </w:pPr>
      <w:r>
        <w:t>6.10.3 Decision-Curve Analysis and Practical Significance</w:t>
        <w:tab/>
        <w:t>61</w:t>
      </w:r>
    </w:p>
    <w:p w14:paraId="1B765C28" w14:textId="77777777" w:rsidR="00FD5D21" w:rsidRDefault="00FD5D21">
      <w:pPr>
        <w:pStyle w:val="TOC3"/>
        <w:tabs>
          <w:tab w:val="right" w:leader="dot" w:pos="8495"/>
        </w:tabs>
        <w:rPr>
          <w:noProof/>
        </w:rPr>
      </w:pPr>
      <w:r>
        <w:t>6.10.4 Pre-Specified Predictions</w:t>
        <w:tab/>
        <w:t>61</w:t>
      </w:r>
    </w:p>
    <w:p w14:paraId="26BA23DA" w14:textId="77777777" w:rsidR="00FD5D21" w:rsidRDefault="00FD5D21">
      <w:pPr>
        <w:pStyle w:val="TOC3"/>
        <w:tabs>
          <w:tab w:val="right" w:leader="dot" w:pos="8495"/>
        </w:tabs>
        <w:rPr>
          <w:noProof/>
        </w:rPr>
      </w:pPr>
      <w:r>
        <w:t>6.10.5 Provisional Estimates from the Existing Datasets</w:t>
        <w:tab/>
        <w:t>61</w:t>
      </w:r>
    </w:p>
    <w:p w14:paraId="4DFE3A4F" w14:textId="77777777" w:rsidR="00FD5D21" w:rsidRDefault="00FD5D21">
      <w:pPr>
        <w:pStyle w:val="TOC2"/>
        <w:tabs>
          <w:tab w:val="right" w:leader="dot" w:pos="8495"/>
        </w:tabs>
        <w:rPr>
          <w:noProof/>
        </w:rPr>
      </w:pPr>
      <w:r>
        <w:t>6.11 Consolidated Statistical Results</w:t>
        <w:tab/>
        <w:t>62</w:t>
      </w:r>
    </w:p>
    <w:p w14:paraId="2D0FD9EB" w14:textId="77777777" w:rsidR="00FD5D21" w:rsidRDefault="00FD5D21">
      <w:pPr>
        <w:pStyle w:val="TOC1"/>
        <w:tabs>
          <w:tab w:val="right" w:leader="dot" w:pos="8495"/>
        </w:tabs>
        <w:rPr>
          <w:noProof/>
        </w:rPr>
      </w:pPr>
      <w:r>
        <w:t>Chapter 7 Discussion: Adaptive Learning as the Behavioural-Change Driver</w:t>
        <w:tab/>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14:paraId="43B707E8" w14:textId="77777777" w:rsidR="00FD5D21" w:rsidRDefault="00FD5D21">
      <w:pPr>
        <w:pStyle w:val="TOC2"/>
        <w:tabs>
          <w:tab w:val="right" w:leader="dot" w:pos="8495"/>
        </w:tabs>
        <w:rPr>
          <w:noProof/>
        </w:rPr>
      </w:pPr>
      <w:r>
        <w:t>9.7 Theoretical Contributions</w:t>
        <w:tab/>
        <w:t>85</w:t>
      </w:r>
    </w:p>
    <w:p w14:paraId="5FB7339C" w14:textId="77777777" w:rsidR="00FD5D21" w:rsidRDefault="00FD5D21">
      <w:pPr>
        <w:pStyle w:val="TOC2"/>
        <w:tabs>
          <w:tab w:val="right" w:leader="dot" w:pos="8495"/>
        </w:tabs>
        <w:rPr>
          <w:noProof/>
        </w:rPr>
      </w:pPr>
      <w:r>
        <w:t>9.8 Practical Contributions for Industry and Practice</w:t>
        <w:tab/>
        <w:t>86</w:t>
      </w:r>
    </w:p>
    <w:p w14:paraId="1243C9D5" w14:textId="77777777" w:rsidR="00FD5D21" w:rsidRDefault="00FD5D21">
      <w:pPr>
        <w:pStyle w:val="TOC2"/>
        <w:tabs>
          <w:tab w:val="right" w:leader="dot" w:pos="8495"/>
        </w:tabs>
        <w:rPr>
          <w:noProof/>
        </w:rPr>
      </w:pPr>
      <w:r>
        <w:t>9.8A A Secondary Contribution to Gamification: Agentic-AI-Driven Dynamic Game States</w:t>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tab/>
        <w:t>87</w:t>
      </w:r>
    </w:p>
    <w:p w14:paraId="732A1D97" w14:textId="77777777" w:rsidR="00FD5D21" w:rsidRDefault="00FD5D21">
      <w:pPr>
        <w:pStyle w:val="TOC2"/>
        <w:tabs>
          <w:tab w:val="right" w:leader="dot" w:pos="8495"/>
        </w:tabs>
        <w:rPr>
          <w:noProof/>
        </w:rPr>
      </w:pPr>
      <w:r>
        <w:t>9.8C Bounded Implications for AI Evaluation</w:t>
        <w:tab/>
        <w:t>88</w:t>
      </w:r>
    </w:p>
    <w:p w14:paraId="31BE21AB" w14:textId="77777777" w:rsidR="00FD5D21" w:rsidRDefault="00FD5D21">
      <w:pPr>
        <w:pStyle w:val="TOC3"/>
        <w:tabs>
          <w:tab w:val="right" w:leader="dot" w:pos="8495"/>
        </w:tabs>
        <w:rPr>
          <w:noProof/>
        </w:rPr>
      </w:pPr>
      <w:r>
        <w:t>From Language-Rendered Telemetry to Grounded Sensing</w:t>
        <w:tab/>
        <w:t>88</w:t>
      </w:r>
    </w:p>
    <w:p w14:paraId="661E61AE" w14:textId="77777777" w:rsidR="00FD5D21" w:rsidRDefault="00FD5D21">
      <w:pPr>
        <w:pStyle w:val="TOC3"/>
        <w:tabs>
          <w:tab w:val="right" w:leader="dot" w:pos="8495"/>
        </w:tabs>
        <w:rPr>
          <w:noProof/>
        </w:rPr>
      </w:pPr>
      <w:r>
        <w:t>Perception-Action Loops as an Engineering Extension</w:t>
        <w:tab/>
        <w:t>89</w:t>
      </w:r>
    </w:p>
    <w:p w14:paraId="369631C5" w14:textId="77777777" w:rsidR="00FD5D21" w:rsidRDefault="00FD5D21">
      <w:pPr>
        <w:pStyle w:val="TOC3"/>
        <w:tabs>
          <w:tab w:val="right" w:leader="dot" w:pos="8495"/>
        </w:tabs>
        <w:rPr>
          <w:noProof/>
        </w:rPr>
      </w:pPr>
      <w:r>
        <w:t>Adaptive Learning as a Testable System Hypothesis</w:t>
        <w:tab/>
        <w:t>89</w:t>
      </w:r>
    </w:p>
    <w:p w14:paraId="3B001913" w14:textId="77777777" w:rsidR="00FD5D21" w:rsidRDefault="00FD5D21">
      <w:pPr>
        <w:pStyle w:val="TOC3"/>
        <w:tabs>
          <w:tab w:val="right" w:leader="dot" w:pos="8495"/>
        </w:tabs>
        <w:rPr>
          <w:noProof/>
        </w:rPr>
      </w:pPr>
      <w:r>
        <w:t>Implications for Broader AI Research</w:t>
        <w:tab/>
        <w:t>91</w:t>
      </w:r>
    </w:p>
    <w:p w14:paraId="0DCEC4D3" w14:textId="77777777" w:rsidR="00FD5D21" w:rsidRDefault="00FD5D21">
      <w:pPr>
        <w:pStyle w:val="TOC3"/>
        <w:tabs>
          <w:tab w:val="right" w:leader="dot" w:pos="8495"/>
        </w:tabs>
        <w:rPr>
          <w:noProof/>
        </w:rPr>
      </w:pPr>
      <w:r>
        <w:t>Proposed Evaluation Criteria for Human-Adaptive Systems</w:t>
        <w:tab/>
        <w:t>91</w:t>
      </w:r>
    </w:p>
    <w:p w14:paraId="50617ABD" w14:textId="77777777" w:rsidR="00FD5D21" w:rsidRDefault="00FD5D21">
      <w:pPr>
        <w:pStyle w:val="TOC2"/>
        <w:tabs>
          <w:tab w:val="right" w:leader="dot" w:pos="8495"/>
        </w:tabs>
        <w:rPr>
          <w:noProof/>
        </w:rPr>
      </w:pPr>
      <w:r>
        <w:t>9.9 Limits of What Has Been Shown</w:t>
        <w:tab/>
        <w:t>92</w:t>
      </w:r>
    </w:p>
    <w:p w14:paraId="46AE8551" w14:textId="77777777" w:rsidR="00FD5D21" w:rsidRDefault="00FD5D21">
      <w:pPr>
        <w:pStyle w:val="TOC2"/>
        <w:tabs>
          <w:tab w:val="right" w:leader="dot" w:pos="8495"/>
        </w:tabs>
        <w:rPr>
          <w:noProof/>
        </w:rPr>
      </w:pPr>
      <w:r>
        <w:t>9.10 Natural Extensions</w:t>
        <w:tab/>
        <w:t>92</w:t>
      </w:r>
    </w:p>
    <w:p w14:paraId="303D5A68" w14:textId="77777777" w:rsidR="00FD5D21" w:rsidRDefault="00FD5D21">
      <w:pPr>
        <w:pStyle w:val="TOC2"/>
        <w:tabs>
          <w:tab w:val="right" w:leader="dot" w:pos="8495"/>
        </w:tabs>
        <w:rPr>
          <w:noProof/>
        </w:rPr>
      </w:pPr>
      <w:r>
        <w:t>9.11 Returning to the Three F4 Residents</w:t>
        <w:tab/>
        <w:t>92</w:t>
      </w:r>
    </w:p>
    <w:p w14:paraId="3CC2036D" w14:textId="77777777" w:rsidR="00FD5D21" w:rsidRDefault="00FD5D21">
      <w:pPr>
        <w:pStyle w:val="TOC2"/>
        <w:tabs>
          <w:tab w:val="right" w:leader="dot" w:pos="8495"/>
        </w:tabs>
        <w:rPr>
          <w:noProof/>
        </w:rPr>
      </w:pPr>
      <w:r>
        <w:t>9.12 Closing Synthesis</w:t>
        <w:tab/>
        <w:t>93</w:t>
      </w:r>
    </w:p>
    <w:p w14:paraId="7A0A368C" w14:textId="77777777" w:rsidR="00FD5D21" w:rsidRDefault="00FD5D21">
      <w:pPr>
        <w:pStyle w:val="TOC1"/>
        <w:tabs>
          <w:tab w:val="right" w:leader="dot" w:pos="8495"/>
        </w:tabs>
        <w:rPr>
          <w:noProof/>
        </w:rPr>
      </w:pPr>
      <w:r>
        <w:t>References</w:t>
        <w:tab/>
        <w:t>94</w:t>
      </w:r>
    </w:p>
    <w:p w14:paraId="74DBA3C6" w14:textId="77777777" w:rsidR="00FD5D21" w:rsidRDefault="00FD5D21">
      <w:pPr>
        <w:pStyle w:val="TOC1"/>
        <w:tabs>
          <w:tab w:val="right" w:leader="dot" w:pos="8495"/>
        </w:tabs>
        <w:rPr>
          <w:noProof/>
        </w:rPr>
      </w:pPr>
      <w:r>
        <w:lastRenderedPageBreak/>
        <w:t>Appendices</w:t>
        <w:tab/>
        <w:t>101</w:t>
      </w:r>
    </w:p>
    <w:p w14:paraId="2926D9FE" w14:textId="77777777" w:rsidR="00FD5D21" w:rsidRDefault="00FD5D21">
      <w:pPr>
        <w:pStyle w:val="TOC2"/>
        <w:tabs>
          <w:tab w:val="right" w:leader="dot" w:pos="8495"/>
        </w:tabs>
        <w:rPr>
          <w:noProof/>
        </w:rPr>
      </w:pPr>
      <w:r>
        <w:t>Appendix A · Stage-1 Survey Instrument</w:t>
        <w:tab/>
        <w:t>102</w:t>
      </w:r>
    </w:p>
    <w:p w14:paraId="5285B0E0" w14:textId="77777777" w:rsidR="00FD5D21" w:rsidRDefault="00FD5D21">
      <w:pPr>
        <w:pStyle w:val="TOC3"/>
        <w:tabs>
          <w:tab w:val="right" w:leader="dot" w:pos="8495"/>
        </w:tabs>
        <w:rPr>
          <w:noProof/>
        </w:rPr>
      </w:pPr>
      <w:r>
        <w:t>A.1 · Survey Items</w:t>
        <w:tab/>
        <w:t>102</w:t>
      </w:r>
    </w:p>
    <w:p w14:paraId="6DDF65C7" w14:textId="77777777" w:rsidR="00FD5D21" w:rsidRDefault="00FD5D21">
      <w:pPr>
        <w:pStyle w:val="TOC2"/>
        <w:tabs>
          <w:tab w:val="right" w:leader="dot" w:pos="8495"/>
        </w:tabs>
        <w:rPr>
          <w:noProof/>
        </w:rPr>
      </w:pPr>
      <w:r>
        <w:t>Appendix B · Stage-2 FIAS Coding Scheme</w:t>
        <w:tab/>
        <w:t>103</w:t>
      </w:r>
    </w:p>
    <w:p w14:paraId="2E506C6B" w14:textId="77777777" w:rsidR="00FD5D21" w:rsidRDefault="00FD5D21">
      <w:pPr>
        <w:pStyle w:val="TOC2"/>
        <w:tabs>
          <w:tab w:val="right" w:leader="dot" w:pos="8495"/>
        </w:tabs>
        <w:rPr>
          <w:noProof/>
        </w:rPr>
      </w:pPr>
      <w:r>
        <w:t>Appendix C · Stage-2 F4 Interview Protocol</w:t>
        <w:tab/>
        <w:t>104</w:t>
      </w:r>
    </w:p>
    <w:p w14:paraId="5E5C18B7" w14:textId="77777777" w:rsidR="00FD5D21" w:rsidRDefault="00FD5D21">
      <w:pPr>
        <w:pStyle w:val="TOC3"/>
        <w:tabs>
          <w:tab w:val="right" w:leader="dot" w:pos="8495"/>
        </w:tabs>
        <w:rPr>
          <w:noProof/>
        </w:rPr>
      </w:pPr>
      <w:r>
        <w:t>C.1 · Question Set</w:t>
        <w:tab/>
        <w:t>104</w:t>
      </w:r>
    </w:p>
    <w:p w14:paraId="0E2D0823" w14:textId="77777777" w:rsidR="00FD5D21" w:rsidRDefault="00FD5D21">
      <w:pPr>
        <w:pStyle w:val="TOC2"/>
        <w:tabs>
          <w:tab w:val="right" w:leader="dot" w:pos="8495"/>
        </w:tabs>
        <w:rPr>
          <w:noProof/>
        </w:rPr>
      </w:pPr>
      <w:r>
        <w:t>Appendix D · Stage-3 Decoupling Questionnaire</w:t>
        <w:tab/>
        <w:t>105</w:t>
      </w:r>
    </w:p>
    <w:p w14:paraId="709DF084" w14:textId="77777777" w:rsidR="00FD5D21" w:rsidRDefault="00FD5D21">
      <w:pPr>
        <w:pStyle w:val="TOC3"/>
        <w:tabs>
          <w:tab w:val="right" w:leader="dot" w:pos="8495"/>
        </w:tabs>
        <w:rPr>
          <w:noProof/>
        </w:rPr>
      </w:pPr>
      <w:r>
        <w:t>D.1 · Post-Session Items</w:t>
        <w:tab/>
        <w:t>105</w:t>
      </w:r>
    </w:p>
    <w:p w14:paraId="7620F4EE" w14:textId="77777777" w:rsidR="00FD5D21" w:rsidRDefault="00FD5D21">
      <w:pPr>
        <w:pStyle w:val="TOC3"/>
        <w:tabs>
          <w:tab w:val="right" w:leader="dot" w:pos="8495"/>
        </w:tabs>
        <w:rPr>
          <w:noProof/>
        </w:rPr>
      </w:pPr>
      <w:r>
        <w:t>D.2 · Demographic Block (At Enrolment)</w:t>
        <w:tab/>
        <w:t>105</w:t>
      </w:r>
    </w:p>
    <w:p w14:paraId="69614DC3" w14:textId="77777777" w:rsidR="00FD5D21" w:rsidRDefault="00FD5D21">
      <w:pPr>
        <w:pStyle w:val="TOC2"/>
        <w:tabs>
          <w:tab w:val="right" w:leader="dot" w:pos="8495"/>
        </w:tabs>
        <w:rPr>
          <w:noProof/>
        </w:rPr>
      </w:pPr>
      <w:r>
        <w:t>Appendix E · Five-Layer Architecture and Adaptive-Learning Reference Stack</w:t>
        <w:tab/>
        <w:t>106</w:t>
      </w:r>
    </w:p>
    <w:p w14:paraId="54F1230E" w14:textId="77777777" w:rsidR="00FD5D21" w:rsidRDefault="00FD5D21">
      <w:pPr>
        <w:pStyle w:val="TOC3"/>
        <w:tabs>
          <w:tab w:val="right" w:leader="dot" w:pos="8495"/>
        </w:tabs>
        <w:rPr>
          <w:noProof/>
        </w:rPr>
      </w:pPr>
      <w:r>
        <w:t>E.1 · Layers L0–L4 (Stage-2 Operational)</w:t>
        <w:tab/>
        <w:t>106</w:t>
      </w:r>
    </w:p>
    <w:p w14:paraId="41DABB89" w14:textId="77777777" w:rsidR="00FD5D21" w:rsidRDefault="00FD5D21">
      <w:pPr>
        <w:pStyle w:val="TOC3"/>
        <w:tabs>
          <w:tab w:val="right" w:leader="dot" w:pos="8495"/>
        </w:tabs>
        <w:rPr>
          <w:noProof/>
        </w:rPr>
      </w:pPr>
      <w:r>
        <w:t>E.2 · Layers L5–L7 (Adaptive-Learning Reference Stack)</w:t>
        <w:tab/>
        <w:t>106</w:t>
      </w:r>
    </w:p>
    <w:p w14:paraId="7F593C60" w14:textId="77777777" w:rsidR="00FD5D21" w:rsidRDefault="00FD5D21">
      <w:pPr>
        <w:pStyle w:val="TOC3"/>
        <w:tabs>
          <w:tab w:val="right" w:leader="dot" w:pos="8495"/>
        </w:tabs>
        <w:rPr>
          <w:noProof/>
        </w:rPr>
      </w:pPr>
      <w:r>
        <w:t>E.3 · AI Safety Provisions</w:t>
        <w:tab/>
        <w:t>107</w:t>
      </w:r>
    </w:p>
    <w:p w14:paraId="1D6E2544" w14:textId="77777777" w:rsidR="0062437E" w:rsidRDefault="00000000">
      <w:pPr>
        <w:pStyle w:val="TOC2"/>
      </w:pPr>
      <w:r>
        <w:t>Appendix F · Glossary of Key Constructs</w:t>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tab/>
        <w:t>110</w:t>
      </w:r>
    </w:p>
    <w:p>
      <w:pPr>
        <w:pStyle w:val="TOC2"/>
      </w:pPr>
      <w:r>
        <w:t>Appendix H · Expert Consultation Record</w:t>
        <w:tab/>
        <w:t>112</w:t>
      </w:r>
    </w:p>
    <w:p w14:paraId="5FFD17E6" w14:textId="77777777" w:rsidR="0062437E" w:rsidRDefault="00000000">
      <w:pPr>
        <w:pStyle w:val="Heading1"/>
      </w:pPr>
      <w:r>
        <w:t>List of Figures</w:t>
      </w:r>
    </w:p>
    <w:p>
      <w:pPr>
        <w:pStyle w:val="TOC1"/>
      </w:pPr>
      <w:r>
        <w:t>Figure 1.1. The intellectual structure of the thesis: from industrial problem through FIAS, the adaptive-learning framework and the dynamic game-state engine to the industrial outcome.</w:t>
        <w:tab/>
        <w:t>9</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adaptive-learning framework design framework and the future-work programme.</w:t>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tab/>
        <w:t>30</w:t>
      </w:r>
    </w:p>
    <w:p>
      <w:pPr>
        <w:pStyle w:val="TOC1"/>
      </w:pPr>
      <w:r>
        <w:t>Figure 4.1B. The FRA balance station as deployed in the rehabilitation room of the Guangzhou facility.</w:t>
        <w:tab/>
        <w:t>36</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tab/>
        <w:t>40</w:t>
      </w:r>
    </w:p>
    <w:p>
      <w:pPr>
        <w:pStyle w:val="TOC1"/>
      </w:pPr>
      <w:r>
        <w:t>Figure 5.1A. The platform-game coupling demonstrated by a control person (development office, August 2024).</w:t>
        <w:tab/>
        <w:t>40</w:t>
      </w:r>
    </w:p>
    <w:p>
      <w:pPr>
        <w:pStyle w:val="TOC1"/>
      </w:pPr>
      <w:r>
        <w:t>Figure 5.1B. The deployed game artefact across difficulty levels 1–5 (screenshots from the archived game build).</w:t>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provisional FIAS composite scores across all 30 participants. The composite includes engagement-outcome attributes, so the separation of the F4 cluster is expected by construction; the figure is descriptive case identification, not evidence (§5.6).</w:t>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29.3-pp commitment gap in the 65–80 band.</w:t>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adaptive-learning reference stack: existing five-layer FRA architecture (L0–L4) extended with three additional layers (L5 User-Facing Trajectory; L6 Staff Coaching Protocol; L7 Adaptive-Learning Telemetry).</w:t>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pPr>
        <w:pStyle w:val="TOC1"/>
      </w:pPr>
      <w:r>
        <w:t>Table 3.1. The hypothesis architecture of the programme: where each claim originates, is stated, is tested, and stands.</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 interviewed, of a resident population of 280).</w:t>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tab/>
        <w:t>48</w:t>
      </w:r>
    </w:p>
    <w:p>
      <w:pPr>
        <w:pStyle w:val="TOC1"/>
      </w:pPr>
      <w:r>
        <w:t>Table 5.3.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7.1. adaptive-learning principles, function and empirical anchor.</w:t>
        <w:tab/>
        <w:t>66</w:t>
      </w:r>
    </w:p>
    <w:p>
      <w:pPr>
        <w:pStyle w:val="TOC1"/>
      </w:pPr>
      <w:r>
        <w:t>Table 8.0. The four contribution registers and where each is stated.</w:t>
        <w:tab/>
        <w:t>72</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adaptive-learning reference stack (L0–L7) mapped to adaptive-learning principles.</w:t>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ageBreakBefore/>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work contacts, a charity community network, university support channels and the author's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Stage 3 thereby changed a package of participant-facing clinical cues: no clinical pre-scan was conducted,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xmlns:a="http://schemas.openxmlformats.org/drawingml/2006/main" xmlns:pic="http://schemas.openxmlformats.org/drawingml/2006/pictur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sz w:val="20"/>
              </w:rPr>
            </w:r>
            <w:r>
              <w:rPr>
                <w:b/>
                <w:sz w:val="20"/>
              </w:rPr>
              <w:t>Observation H0 cannot explain</w:t>
            </w:r>
          </w:p>
        </w:tc>
        <w:tc>
          <w:tcPr>
            <w:tcW w:type="dxa" w:w="2126"/>
          </w:tcPr>
          <w:p>
            <w:r>
              <w:rPr>
                <w:sz w:val="20"/>
              </w:rPr>
            </w:r>
            <w:r>
              <w:rPr>
                <w:b/>
                <w:sz w:val="20"/>
              </w:rPr>
              <w:t>Behavioural theory</w:t>
            </w:r>
          </w:p>
        </w:tc>
        <w:tc>
          <w:tcPr>
            <w:tcW w:type="dxa" w:w="2126"/>
          </w:tcPr>
          <w:p>
            <w:r>
              <w:rPr>
                <w:sz w:val="20"/>
              </w:rPr>
            </w:r>
            <w:r>
              <w:rPr>
                <w:b/>
                <w:sz w:val="20"/>
              </w:rPr>
              <w:t>Construct contributed to FIAS</w:t>
            </w:r>
          </w:p>
        </w:tc>
        <w:tc>
          <w:tcPr>
            <w:tcW w:type="dxa" w:w="2126"/>
          </w:tcPr>
          <w:p>
            <w:r>
              <w:rPr>
                <w:sz w:val="20"/>
              </w:rPr>
            </w:r>
            <w:r>
              <w:rPr>
                <w:b/>
                <w:sz w:val="20"/>
              </w:rPr>
              <w:t>Prediction generated</w:t>
            </w:r>
          </w:p>
        </w:tc>
      </w:tr>
      <w:tr>
        <w:tc>
          <w:tcPr>
            <w:tcW w:type="dxa" w:w="2126"/>
          </w:tcPr>
          <w:p>
            <w:r>
              <w:rPr>
                <w:sz w:val="20"/>
              </w:rPr>
              <w:t>A single adverse first experience outweighs the design's motivational pull</w:t>
            </w:r>
          </w:p>
        </w:tc>
        <w:tc>
          <w:tcPr>
            <w:tcW w:type="dxa" w:w="2126"/>
          </w:tcPr>
          <w:p>
            <w:r>
              <w:rPr>
                <w:sz w:val="20"/>
              </w:rPr>
              <w:t>Prospect theory / loss aversion (Kahneman &amp; Tversky, 1979)</w:t>
            </w:r>
          </w:p>
        </w:tc>
        <w:tc>
          <w:tcPr>
            <w:tcW w:type="dxa" w:w="2126"/>
          </w:tcPr>
          <w:p>
            <w:r>
              <w:rPr>
                <w:sz w:val="20"/>
              </w:rPr>
              <w:t>Asymmetric weighting of an adverse result against a valued reference point</w:t>
            </w:r>
          </w:p>
        </w:tc>
        <w:tc>
          <w:tcPr>
            <w:tcW w:type="dxa" w:w="2126"/>
          </w:tcPr>
          <w:p>
            <w:r>
              <w:rPr>
                <w:sz w:val="20"/>
              </w:rPr>
              <w:t>First failure is associated with early disengagement (H1, Chapter 5)</w:t>
            </w:r>
          </w:p>
        </w:tc>
      </w:tr>
      <w:tr>
        <w:tc>
          <w:tcPr>
            <w:tcW w:type="dxa" w:w="2126"/>
          </w:tcPr>
          <w:p>
            <w:r>
              <w:rPr>
                <w:sz w:val="20"/>
              </w:rPr>
              <w:t>Exit persists even when the recorded score improves</w:t>
            </w:r>
          </w:p>
        </w:tc>
        <w:tc>
          <w:tcPr>
            <w:tcW w:type="dxa" w:w="2126"/>
          </w:tcPr>
          <w:p>
            <w:r>
              <w:rPr>
                <w:sz w:val="20"/>
              </w:rPr>
              <w:t>Endowment effect (Thaler, 1980; Kahneman, Knetsch &amp; Thaler, 1990)</w:t>
            </w:r>
          </w:p>
        </w:tc>
        <w:tc>
          <w:tcPr>
            <w:tcW w:type="dxa" w:w="2126"/>
          </w:tcPr>
          <w:p>
            <w:r>
              <w:rPr>
                <w:sz w:val="20"/>
              </w:rPr>
              <w:t>Identity-relevant endowment: exit protects a valued self-description from revaluation</w:t>
            </w:r>
          </w:p>
        </w:tc>
        <w:tc>
          <w:tcPr>
            <w:tcW w:type="dxa" w:w="2126"/>
          </w:tcPr>
          <w:p>
            <w:r>
              <w:rPr>
                <w:sz w:val="20"/>
              </w:rPr>
              <w:t>Objective improvement does not by itself produce return (H4 — the improvement/non-return paradox)</w:t>
            </w:r>
          </w:p>
        </w:tc>
      </w:tr>
      <w:tr>
        <w:tc>
          <w:tcPr>
            <w:tcW w:type="dxa" w:w="2126"/>
          </w:tcPr>
          <w:p>
            <w:r>
              <w:rPr>
                <w:sz w:val="20"/>
              </w:rPr>
              <w:t>The same event means different things under different frames</w:t>
            </w:r>
          </w:p>
        </w:tc>
        <w:tc>
          <w:tcPr>
            <w:tcW w:type="dxa" w:w="2126"/>
          </w:tcPr>
          <w:p>
            <w:r>
              <w:rPr>
                <w:sz w:val="20"/>
              </w:rPr>
              <w:t>Mental accounting (Thaler, 1985)</w:t>
            </w:r>
          </w:p>
        </w:tc>
        <w:tc>
          <w:tcPr>
            <w:tcW w:type="dxa" w:w="2126"/>
          </w:tcPr>
          <w:p>
            <w:r>
              <w:rPr>
                <w:sz w:val="20"/>
              </w:rPr>
              <w:t>Clinical framing sorts the session into a high-stakes health account</w:t>
            </w:r>
          </w:p>
        </w:tc>
        <w:tc>
          <w:tcPr>
            <w:tcW w:type="dxa" w:w="2126"/>
          </w:tcPr>
          <w:p>
            <w:r>
              <w:rPr>
                <w:sz w:val="20"/>
              </w:rPr>
              <w:t>Removing participant-facing clinical framing increases post-failure return (H5, Stage 3)</w:t>
            </w:r>
          </w:p>
        </w:tc>
      </w:tr>
      <w:tr>
        <w:tc>
          <w:tcPr>
            <w:tcW w:type="dxa" w:w="2126"/>
          </w:tcPr>
          <w:p>
            <w:r>
              <w:rPr>
                <w:sz w:val="20"/>
              </w:rPr>
              <w:t>Clinical and age-related cues amplify the meaning of failure</w:t>
            </w:r>
          </w:p>
        </w:tc>
        <w:tc>
          <w:tcPr>
            <w:tcW w:type="dxa" w:w="2126"/>
          </w:tcPr>
          <w:p>
            <w:r>
              <w:rPr>
                <w:sz w:val="20"/>
              </w:rPr>
              <w:t>Stereotype threat (Steele &amp; Aronson, 1995; Levy et al., 2002)</w:t>
            </w:r>
          </w:p>
        </w:tc>
        <w:tc>
          <w:tcPr>
            <w:tcW w:type="dxa" w:w="2126"/>
          </w:tcPr>
          <w:p>
            <w:r>
              <w:rPr>
                <w:sz w:val="20"/>
              </w:rPr>
              <w:t>Salience of age-related decline as the trigger of identity-relevant appraisal</w:t>
            </w:r>
          </w:p>
        </w:tc>
        <w:tc>
          <w:tcPr>
            <w:tcW w:type="dxa" w:w="2126"/>
          </w:tcPr>
          <w:p>
            <w:r>
              <w:rPr>
                <w:sz w:val="20"/>
              </w:rPr>
              <w:t>Threat-reduced framing and coaching improve retry and return (the adaptive-learning framework, Chapter 7)</w:t>
            </w:r>
          </w:p>
        </w:tc>
      </w:tr>
      <w:tr>
        <w:tc>
          <w:tcPr>
            <w:tcW w:type="dxa" w:w="2126"/>
          </w:tcPr>
          <w:p>
            <w:r>
              <w:rPr>
                <w:sz w:val="20"/>
              </w:rPr>
              <w:t>Abandonment persisted although the Stage-2 build had already softened in-game loss (lives, forgiving hits)</w:t>
            </w:r>
          </w:p>
        </w:tc>
        <w:tc>
          <w:tcPr>
            <w:tcW w:type="dxa" w:w="2126"/>
          </w:tcPr>
          <w:p>
            <w:r>
              <w:rPr>
                <w:sz w:val="20"/>
              </w:rPr>
              <w:t>Octalysis D8 inverted: zero-failure design (§2.6.2C, from this research's observations)</w:t>
            </w:r>
          </w:p>
        </w:tc>
        <w:tc>
          <w:tcPr>
            <w:tcW w:type="dxa" w:w="2126"/>
          </w:tcPr>
          <w:p>
            <w:r>
              <w:rPr>
                <w:sz w:val="20"/>
              </w:rPr>
              <w:t>The operative loss is identity-level, outside the game's ledger; verdict cues, not in-game losses, carry it</w:t>
            </w:r>
          </w:p>
        </w:tc>
        <w:tc>
          <w:tcPr>
            <w:tcW w:type="dxa" w:w="2126"/>
          </w:tcPr>
          <w:p>
            <w:r>
              <w:rPr>
                <w:sz w:val="20"/>
              </w:rPr>
              <w:t>Removing terminal failure verdicts (zero-failure states, §5.3.10) plus decoupling increases retry and return (the adaptive-learning framework,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14:paraId="6558300B" w14:textId="77777777" w:rsidR="0062437E" w:rsidRDefault="00000000">
      <w:pPr>
        <w:jc w:val="both"/>
      </w:pPr>
      <w: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ageBreakBefore/>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rPr>
          <w:i w:val="0"/>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14:paraId="2B5F511C" w14:textId="77777777" w:rsidR="0062437E" w:rsidRDefault="00000000">
      <w:pPr>
        <w:jc w:val="both"/>
      </w:pPr>
      <w:r>
        <w:t xml:space="preserve">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rPr>
          <w:i w:val="0"/>
        </w:rPr>
        <w:t>Stage 3 was a between-cycle, between-cohort quasi-experimental field study with 120 adults aged 25-80 recruited through the author's Hong Kong-based networks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TableCaption"/>
      </w:pPr>
      <w: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Pr>
                <w:sz w:val="20"/>
              </w:rPr>
            </w:r>
            <w:r>
              <w:rPr>
                <w:b/>
                <w:sz w:val="20"/>
              </w:rPr>
              <w:t>Claim</w:t>
            </w:r>
          </w:p>
        </w:tc>
        <w:tc>
          <w:tcPr>
            <w:tcW w:type="dxa" w:w="1701"/>
          </w:tcPr>
          <w:p>
            <w:r>
              <w:rPr>
                <w:sz w:val="20"/>
              </w:rPr>
            </w:r>
            <w:r>
              <w:rPr>
                <w:b/>
                <w:sz w:val="20"/>
              </w:rPr>
              <w:t>Origin</w:t>
            </w:r>
          </w:p>
        </w:tc>
        <w:tc>
          <w:tcPr>
            <w:tcW w:type="dxa" w:w="1701"/>
          </w:tcPr>
          <w:p>
            <w:r>
              <w:rPr>
                <w:sz w:val="20"/>
              </w:rPr>
            </w:r>
            <w:r>
              <w:rPr>
                <w:b/>
                <w:sz w:val="20"/>
              </w:rPr>
              <w:t>Stated</w:t>
            </w:r>
          </w:p>
        </w:tc>
        <w:tc>
          <w:tcPr>
            <w:tcW w:type="dxa" w:w="1701"/>
          </w:tcPr>
          <w:p>
            <w:r>
              <w:rPr>
                <w:sz w:val="20"/>
              </w:rPr>
            </w:r>
            <w:r>
              <w:rPr>
                <w:b/>
                <w:sz w:val="20"/>
              </w:rPr>
              <w:t>Tested / examined</w:t>
            </w:r>
          </w:p>
        </w:tc>
        <w:tc>
          <w:tcPr>
            <w:tcW w:type="dxa" w:w="1701"/>
          </w:tcPr>
          <w:p>
            <w:r>
              <w:rPr>
                <w:sz w:val="20"/>
              </w:rPr>
            </w:r>
            <w:r>
              <w:rPr>
                <w:b/>
                <w:sz w:val="20"/>
              </w:rPr>
              <w:t>Status in this thesis</w:t>
            </w:r>
          </w:p>
        </w:tc>
      </w:tr>
      <w:tr>
        <w:tc>
          <w:tcPr>
            <w:tcW w:type="dxa" w:w="1701"/>
          </w:tcPr>
          <w:p>
            <w:r>
              <w:rPr>
                <w:sz w:val="20"/>
              </w:rPr>
              <w:t>H0 — gamified FRA satisfying TAM/STAM + Octalysis sustains elderly acceptance; failure does not produce abandonment</w:t>
            </w:r>
          </w:p>
        </w:tc>
        <w:tc>
          <w:tcPr>
            <w:tcW w:type="dxa" w:w="1701"/>
          </w:tcPr>
          <w:p>
            <w:r>
              <w:rPr>
                <w:sz w:val="20"/>
              </w:rPr>
              <w:t>Literature (acceptance + gamification)</w:t>
            </w:r>
          </w:p>
        </w:tc>
        <w:tc>
          <w:tcPr>
            <w:tcW w:type="dxa" w:w="1701"/>
          </w:tcPr>
          <w:p>
            <w:r>
              <w:rPr>
                <w:sz w:val="20"/>
              </w:rPr>
              <w:t>§2.3.5; §5.1</w:t>
            </w:r>
          </w:p>
        </w:tc>
        <w:tc>
          <w:tcPr>
            <w:tcW w:type="dxa" w:w="1701"/>
          </w:tcPr>
          <w:p>
            <w:r>
              <w:rPr>
                <w:sz w:val="20"/>
              </w:rPr>
              <w:t>Stage 1 retrospectively (Ch 4); Stage 2 prospectively (Ch 5)</w:t>
            </w:r>
          </w:p>
        </w:tc>
        <w:tc>
          <w:tcPr>
            <w:tcW w:type="dxa" w:w="1701"/>
          </w:tcPr>
          <w:p>
            <w:r>
              <w:rPr>
                <w:sz w:val="20"/>
              </w:rPr>
              <w:t>Rejected</w:t>
            </w:r>
          </w:p>
        </w:tc>
      </w:tr>
      <w:tr>
        <w:tc>
          <w:tcPr>
            <w:tcW w:type="dxa" w:w="1701"/>
          </w:tcPr>
          <w:p>
            <w:r>
              <w:rPr>
                <w:sz w:val="20"/>
              </w:rPr>
              <w:t>H1–H4 — directional hypotheses on first failure, re-engagement, social comparison, and the improvement/non-return paradox</w:t>
            </w:r>
          </w:p>
        </w:tc>
        <w:tc>
          <w:tcPr>
            <w:tcW w:type="dxa" w:w="1701"/>
          </w:tcPr>
          <w:p>
            <w:r>
              <w:rPr>
                <w:sz w:val="20"/>
              </w:rPr>
              <w:t>Stage-1 observations</w:t>
            </w:r>
          </w:p>
        </w:tc>
        <w:tc>
          <w:tcPr>
            <w:tcW w:type="dxa" w:w="1701"/>
          </w:tcPr>
          <w:p>
            <w:r>
              <w:rPr>
                <w:sz w:val="20"/>
              </w:rPr>
              <w:t>§5.1</w:t>
            </w:r>
          </w:p>
        </w:tc>
        <w:tc>
          <w:tcPr>
            <w:tcW w:type="dxa" w:w="1701"/>
          </w:tcPr>
          <w:p>
            <w:r>
              <w:rPr>
                <w:sz w:val="20"/>
              </w:rPr>
              <w:t>Stage 2 (Ch 5)</w:t>
            </w:r>
          </w:p>
        </w:tc>
        <w:tc>
          <w:tcPr>
            <w:tcW w:type="dxa" w:w="1701"/>
          </w:tcPr>
          <w:p>
            <w:r>
              <w:rPr>
                <w:sz w:val="20"/>
              </w:rPr>
              <w:t>Directionally supported within a small single-site sample</w:t>
            </w:r>
          </w:p>
        </w:tc>
      </w:tr>
      <w:tr>
        <w:tc>
          <w:tcPr>
            <w:tcW w:type="dxa" w:w="1701"/>
          </w:tcPr>
          <w:p>
            <w:r>
              <w:rPr>
                <w:sz w:val="20"/>
              </w:rPr>
              <w:t>H5 and the Stage-3 predictions — decoupling is associated with lower non-return and post-failure return</w:t>
            </w:r>
          </w:p>
        </w:tc>
        <w:tc>
          <w:tcPr>
            <w:tcW w:type="dxa" w:w="1701"/>
          </w:tcPr>
          <w:p>
            <w:r>
              <w:rPr>
                <w:sz w:val="20"/>
              </w:rPr>
              <w:t>Stage-2 findings (mental-accounting row of Table 2.1)</w:t>
            </w:r>
          </w:p>
        </w:tc>
        <w:tc>
          <w:tcPr>
            <w:tcW w:type="dxa" w:w="1701"/>
          </w:tcPr>
          <w:p>
            <w:r>
              <w:rPr>
                <w:sz w:val="20"/>
              </w:rPr>
              <w:t>§5.1; §6.2</w:t>
            </w:r>
          </w:p>
        </w:tc>
        <w:tc>
          <w:tcPr>
            <w:tcW w:type="dxa" w:w="1701"/>
          </w:tcPr>
          <w:p>
            <w:r>
              <w:rPr>
                <w:sz w:val="20"/>
              </w:rPr>
              <w:t>Stage 3 (Ch 6)</w:t>
            </w:r>
          </w:p>
        </w:tc>
        <w:tc>
          <w:tcPr>
            <w:tcW w:type="dxa" w:w="1701"/>
          </w:tcPr>
          <w:p>
            <w:r>
              <w:rPr>
                <w:sz w:val="20"/>
              </w:rPr>
              <w:t>Supported as association; attribution bounded by the between-cohort design</w:t>
            </w:r>
          </w:p>
        </w:tc>
      </w:tr>
      <w:tr>
        <w:tc>
          <w:tcPr>
            <w:tcW w:type="dxa" w:w="1701"/>
          </w:tcPr>
          <w:p>
            <w:r>
              <w:rPr>
                <w:sz w:val="20"/>
              </w:rPr>
              <w:t>Adaptive-learning proposition — individual-level continuous improvement as the behavioural-change driver that can re-attach clinical purpose</w:t>
            </w:r>
          </w:p>
        </w:tc>
        <w:tc>
          <w:tcPr>
            <w:tcW w:type="dxa" w:w="1701"/>
          </w:tcPr>
          <w:p>
            <w:r>
              <w:rPr>
                <w:sz w:val="20"/>
              </w:rPr>
              <w:t>Discovery: forced by the H0 rejection and the Stage-3 commitment gap</w:t>
            </w:r>
          </w:p>
        </w:tc>
        <w:tc>
          <w:tcPr>
            <w:tcW w:type="dxa" w:w="1701"/>
          </w:tcPr>
          <w:p>
            <w:r>
              <w:rPr>
                <w:sz w:val="20"/>
              </w:rPr>
              <w:t>§6.8; Ch 7 (the adaptive-learning framework)</w:t>
            </w:r>
          </w:p>
        </w:tc>
        <w:tc>
          <w:tcPr>
            <w:tcW w:type="dxa" w:w="1701"/>
          </w:tcPr>
          <w:p>
            <w:r>
              <w:rPr>
                <w:sz w:val="20"/>
              </w:rPr>
              <w:t>Not yet tested in isolation</w:t>
            </w:r>
          </w:p>
        </w:tc>
        <w:tc>
          <w:tcPr>
            <w:tcW w:type="dxa" w:w="1701"/>
          </w:tcPr>
          <w:p>
            <w:r>
              <w:rPr>
                <w:sz w:val="20"/>
              </w:rPr>
              <w:t>Proposed; isolated evaluation pre-specified in §8.8 and instrumented in §3.6</w:t>
            </w:r>
          </w:p>
        </w:tc>
      </w:tr>
      <w:tr>
        <w:tc>
          <w:tcPr>
            <w:tcW w:type="dxa" w:w="1701"/>
          </w:tcPr>
          <w:p>
            <w:r/>
            <w:r>
              <w:rPr>
                <w:sz w:val="20"/>
              </w:rPr>
              <w:t>H0-age — under the decoupled condition, no difference between age groups</w:t>
            </w:r>
          </w:p>
        </w:tc>
        <w:tc>
          <w:tcPr>
            <w:tcW w:type="dxa" w:w="1701"/>
          </w:tcPr>
          <w:p>
            <w:r/>
            <w:r>
              <w:rPr>
                <w:sz w:val="20"/>
              </w:rPr>
              <w:t>Stage-3 cohort design (three age bands as built-in comparison groups)</w:t>
            </w:r>
          </w:p>
        </w:tc>
        <w:tc>
          <w:tcPr>
            <w:tcW w:type="dxa" w:w="1701"/>
          </w:tcPr>
          <w:p>
            <w:r/>
            <w:r>
              <w:rPr>
                <w:sz w:val="20"/>
              </w:rPr>
              <w:t>§3.2; §6.2</w:t>
            </w:r>
          </w:p>
        </w:tc>
        <w:tc>
          <w:tcPr>
            <w:tcW w:type="dxa" w:w="1701"/>
          </w:tcPr>
          <w:p>
            <w:r/>
            <w:r>
              <w:rPr>
                <w:sz w:val="20"/>
              </w:rPr>
              <w:t>Stage 3 (Ch 6): age-stratified engagement</w:t>
            </w:r>
          </w:p>
        </w:tc>
        <w:tc>
          <w:tcPr>
            <w:tcW w:type="dxa" w:w="1701"/>
          </w:tcPr>
          <w:p>
            <w:r>
              <w:t>Nullified: initial dropout 0.0% (25-44) vs 39.0% (65-80), Fisher's exact p &lt; 0.0001; non-return converges low in all bands</w:t>
            </w:r>
          </w:p>
        </w:tc>
      </w:tr>
    </w:tbl>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r>
        <w:rPr>
          <w:b/>
          <w:highlight w:val="yellow"/>
        </w:rPr>
      </w:r>
    </w:p>
    <w:p w14:paraId="392B12E8" w14:textId="77777777" w:rsidR="0062437E" w:rsidRDefault="00000000">
      <w:pPr>
        <w:keepNext/>
        <w:spacing w:before="160" w:after="40"/>
        <w:jc w:val="center"/>
      </w:pPr>
      <w:r>
        <w:drawing>
          <wp:inline xmlns:a="http://schemas.openxmlformats.org/drawingml/2006/main" xmlns:pic="http://schemas.openxmlformats.org/drawingml/2006/pictur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14:paraId="44811F34" w14:textId="77777777" w:rsidR="0062437E" w:rsidRDefault="00000000">
      <w:pPr>
        <w:pStyle w:val="FigureCaption"/>
        <w:jc w:val="center"/>
      </w:pPr>
      <w: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jc w:val="both"/>
      </w:pPr>
      <w:r>
        <w:rPr>
          <w:i w:val="0"/>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r>
        <w:rPr>
          <w:i w:val="0"/>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rPr>
          <w:i w:val="0"/>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14:paraId="34DA1CE0" w14:textId="77777777" w:rsidR="0062437E" w:rsidRDefault="00000000">
      <w:pPr>
        <w:pStyle w:val="Heading1"/>
        <w:pageBreakBefore/>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drawing>
          <wp:inline xmlns:a="http://schemas.openxmlformats.org/drawingml/2006/main" xmlns:pic="http://schemas.openxmlformats.org/drawingml/2006/pictur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drawing>
          <wp:inline xmlns:a="http://schemas.openxmlformats.org/drawingml/2006/main" xmlns:pic="http://schemas.openxmlformats.org/drawingml/2006/pictur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14:paraId="285B2D57" w14:textId="77777777" w:rsidR="0062437E" w:rsidRDefault="00000000">
      <w:pPr>
        <w:jc w:val="both"/>
      </w:pPr>
      <w: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4CE718EE" w14:textId="77777777" w:rsidR="0062437E" w:rsidRDefault="00000000">
      <w:pPr>
        <w:pStyle w:val="Heading2"/>
      </w:pPr>
      <w:bookmarkStart w:id="56" w:name="_Toc232024556"/>
      <w:bookmarkEnd w:id="56"/>
      <w:r>
        <w:t>4.2 The Guangzhou Survey (N = 200 of 280 Residents)</w:t>
      </w:r>
    </w:p>
    <w:p w14:paraId="58B43063" w14:textId="77777777" w:rsidR="0062437E" w:rsidRDefault="00000000">
      <w:pPr>
        <w:jc w:val="both"/>
      </w:pPr>
      <w: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14:paraId="13B11C36" w14:textId="77777777" w:rsidR="0062437E" w:rsidRDefault="00000000">
      <w:pPr>
        <w:pStyle w:val="TableCaption"/>
        <w:jc w:val="center"/>
      </w:pPr>
      <w:bookmarkStart w:id="57" w:name="_Toc232024694"/>
      <w:bookmarkEnd w:id="57"/>
      <w:r>
        <w:t>Table 4.1. Stage-1 survey results (N = 200 residents interviewed, of a resident population of 280).</w:t>
      </w:r>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ageBreakBefore/>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drawing>
          <wp:inline xmlns:a="http://schemas.openxmlformats.org/drawingml/2006/main" xmlns:pic="http://schemas.openxmlformats.org/drawingml/2006/pictur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drawing>
          <wp:inline xmlns:a="http://schemas.openxmlformats.org/drawingml/2006/main" xmlns:pic="http://schemas.openxmlformats.org/drawingml/2006/pictur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r>
        <w:drawing>
          <wp:inline xmlns:a="http://schemas.openxmlformats.org/drawingml/2006/main" xmlns:pic="http://schemas.openxmlformats.org/drawingml/2006/pictur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drawing>
          <wp:inline xmlns:a="http://schemas.openxmlformats.org/drawingml/2006/main" xmlns:pic="http://schemas.openxmlformats.org/drawingml/2006/pictur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drawing>
          <wp:inline xmlns:a="http://schemas.openxmlformats.org/drawingml/2006/main" xmlns:pic="http://schemas.openxmlformats.org/drawingml/2006/pictur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jc w:val="center"/>
      </w:pPr>
      <w:bookmarkStart w:id="88" w:name="_Toc232024700"/>
      <w:bookmarkEnd w:id="88"/>
      <w: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sz w:val="20"/>
              </w:rPr>
            </w:r>
            <w:r>
              <w:rPr>
                <w:b/>
                <w:sz w:val="20"/>
              </w:rPr>
              <w:t>User need (voice of the user)</w:t>
            </w:r>
          </w:p>
        </w:tc>
        <w:tc>
          <w:tcPr>
            <w:tcW w:type="dxa" w:w="1215"/>
          </w:tcPr>
          <w:p>
            <w:r>
              <w:rPr>
                <w:sz w:val="20"/>
              </w:rPr>
            </w:r>
            <w:r>
              <w:rPr>
                <w:b/>
                <w:sz w:val="20"/>
              </w:rPr>
              <w:t>Evidence from the data</w:t>
            </w:r>
          </w:p>
        </w:tc>
        <w:tc>
          <w:tcPr>
            <w:tcW w:type="dxa" w:w="1215"/>
          </w:tcPr>
          <w:p>
            <w:r>
              <w:rPr>
                <w:sz w:val="20"/>
              </w:rPr>
            </w:r>
            <w:r>
              <w:rPr>
                <w:b/>
                <w:sz w:val="20"/>
              </w:rPr>
              <w:t>Construct</w:t>
            </w:r>
          </w:p>
        </w:tc>
        <w:tc>
          <w:tcPr>
            <w:tcW w:type="dxa" w:w="1215"/>
          </w:tcPr>
          <w:p>
            <w:r>
              <w:rPr>
                <w:sz w:val="20"/>
              </w:rPr>
            </w:r>
            <w:r>
              <w:rPr>
                <w:b/>
                <w:sz w:val="20"/>
              </w:rPr>
              <w:t>Adaptive difficulty (L2)</w:t>
            </w:r>
          </w:p>
        </w:tc>
        <w:tc>
          <w:tcPr>
            <w:tcW w:type="dxa" w:w="1215"/>
          </w:tcPr>
          <w:p>
            <w:r>
              <w:rPr>
                <w:sz w:val="20"/>
              </w:rPr>
            </w:r>
            <w:r>
              <w:rPr>
                <w:b/>
                <w:sz w:val="20"/>
              </w:rPr>
              <w:t>Loss-free states</w:t>
            </w:r>
          </w:p>
        </w:tc>
        <w:tc>
          <w:tcPr>
            <w:tcW w:type="dxa" w:w="1215"/>
          </w:tcPr>
          <w:p>
            <w:r>
              <w:rPr>
                <w:sz w:val="20"/>
              </w:rPr>
            </w:r>
            <w:r>
              <w:rPr>
                <w:b/>
                <w:sz w:val="20"/>
              </w:rPr>
              <w:t>Trajectory display (L5)</w:t>
            </w:r>
          </w:p>
        </w:tc>
        <w:tc>
          <w:tcPr>
            <w:tcW w:type="dxa" w:w="1215"/>
          </w:tcPr>
          <w:p>
            <w:r>
              <w:rPr>
                <w:sz w:val="20"/>
              </w:rPr>
            </w:r>
            <w:r>
              <w:rPr>
                <w:b/>
                <w:sz w:val="20"/>
              </w:rPr>
              <w:t>Coaching (L6)</w:t>
            </w:r>
          </w:p>
        </w:tc>
      </w:tr>
      <w:tr>
        <w:tc>
          <w:tcPr>
            <w:tcW w:type="dxa" w:w="1215"/>
          </w:tcPr>
          <w:p>
            <w:r>
              <w:rPr>
                <w:sz w:val="20"/>
              </w:rPr>
              <w:t>Challenge that matches my ability</w:t>
            </w:r>
          </w:p>
        </w:tc>
        <w:tc>
          <w:tcPr>
            <w:tcW w:type="dxa" w:w="1215"/>
          </w:tcPr>
          <w:p>
            <w:r>
              <w:rPr>
                <w:sz w:val="20"/>
              </w:rPr>
              <w:t>70.0% disengaged at ≤3 cycles; satisfaction 9/9 among sustained vs 11/21 (p = .013)</w:t>
            </w:r>
          </w:p>
        </w:tc>
        <w:tc>
          <w:tcPr>
            <w:tcW w:type="dxa" w:w="1215"/>
          </w:tcPr>
          <w:p>
            <w:r>
              <w:rPr>
                <w:sz w:val="20"/>
              </w:rPr>
              <w:t>Flow / PEOU (TAM)</w:t>
            </w:r>
          </w:p>
        </w:tc>
        <w:tc>
          <w:tcPr>
            <w:tcW w:type="dxa" w:w="1215"/>
          </w:tcPr>
          <w:p>
            <w:r>
              <w:rPr>
                <w:sz w:val="20"/>
              </w:rPr>
              <w:t>●</w:t>
            </w:r>
          </w:p>
        </w:tc>
        <w:tc>
          <w:tcPr>
            <w:tcW w:type="dxa" w:w="1215"/>
          </w:tcPr>
          <w:p>
            <w:r>
              <w:rPr>
                <w:sz w:val="20"/>
              </w:rPr>
              <w:t>◐</w:t>
            </w:r>
          </w:p>
        </w:tc>
        <w:tc>
          <w:tcPr>
            <w:tcW w:type="dxa" w:w="1215"/>
          </w:tcPr>
          <w:p>
            <w:r>
              <w:rPr>
                <w:sz w:val="20"/>
              </w:rPr>
            </w:r>
          </w:p>
        </w:tc>
        <w:tc>
          <w:tcPr>
            <w:tcW w:type="dxa" w:w="1215"/>
          </w:tcPr>
          <w:p>
            <w:r>
              <w:rPr>
                <w:sz w:val="20"/>
              </w:rPr>
              <w:t>◐</w:t>
            </w:r>
          </w:p>
        </w:tc>
      </w:tr>
      <w:tr>
        <w:tc>
          <w:tcPr>
            <w:tcW w:type="dxa" w:w="1215"/>
          </w:tcPr>
          <w:p>
            <w:r>
              <w:rPr>
                <w:sz w:val="20"/>
              </w:rPr>
              <w:t>Failure must not feel like a verdict about me</w:t>
            </w:r>
          </w:p>
        </w:tc>
        <w:tc>
          <w:tcPr>
            <w:tcW w:type="dxa" w:w="1215"/>
          </w:tcPr>
          <w:p>
            <w:r>
              <w:rPr>
                <w:sz w:val="20"/>
              </w:rPr>
              <w:t>0/21 re-engagement after disengagement; Stage-1: ~74% adverse first experience among prior users</w:t>
            </w:r>
          </w:p>
        </w:tc>
        <w:tc>
          <w:tcPr>
            <w:tcW w:type="dxa" w:w="1215"/>
          </w:tcPr>
          <w:p>
            <w:r>
              <w:rPr>
                <w:sz w:val="20"/>
              </w:rPr>
              <w:t>Loss aversion / D8 (Octalysis)</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Visible personal progress</w:t>
            </w:r>
          </w:p>
        </w:tc>
        <w:tc>
          <w:tcPr>
            <w:tcW w:type="dxa" w:w="1215"/>
          </w:tcPr>
          <w:p>
            <w:r>
              <w:rPr>
                <w:sz w:val="20"/>
              </w:rPr>
              <w:t>Recorded index and self-report diverge (5/8 single-session positive change, 2/8 felt improvement)</w:t>
            </w:r>
          </w:p>
        </w:tc>
        <w:tc>
          <w:tcPr>
            <w:tcW w:type="dxa" w:w="1215"/>
          </w:tcPr>
          <w:p>
            <w:r>
              <w:rPr>
                <w:sz w:val="20"/>
              </w:rPr>
              <w:t>Competence (SDT) / D2</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Understandable, non-clinical feedback</w:t>
            </w:r>
          </w:p>
        </w:tc>
        <w:tc>
          <w:tcPr>
            <w:tcW w:type="dxa" w:w="1215"/>
          </w:tcPr>
          <w:p>
            <w:r>
              <w:rPr>
                <w:sz w:val="20"/>
              </w:rPr>
              <w:t>60.0% self-reported improvement; satisfaction associated with staying</w:t>
            </w:r>
          </w:p>
        </w:tc>
        <w:tc>
          <w:tcPr>
            <w:tcW w:type="dxa" w:w="1215"/>
          </w:tcPr>
          <w:p>
            <w:r>
              <w:rPr>
                <w:sz w:val="20"/>
              </w:rPr>
              <w:t>Gerontechnology anxiety (STAM)</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Reward for effort, not only outcome</w:t>
            </w:r>
          </w:p>
        </w:tc>
        <w:tc>
          <w:tcPr>
            <w:tcW w:type="dxa" w:w="1215"/>
          </w:tcPr>
          <w:p>
            <w:r>
              <w:rPr>
                <w:sz w:val="20"/>
              </w:rPr>
              <w:t>Coin loop sustained play in completers (≥4 cycles: 9/30)</w:t>
            </w:r>
          </w:p>
        </w:tc>
        <w:tc>
          <w:tcPr>
            <w:tcW w:type="dxa" w:w="1215"/>
          </w:tcPr>
          <w:p>
            <w:r>
              <w:rPr>
                <w:sz w:val="20"/>
              </w:rPr>
              <w:t>Learn-to-earn / D4</w:t>
            </w:r>
          </w:p>
        </w:tc>
        <w:tc>
          <w:tcPr>
            <w:tcW w:type="dxa" w:w="1215"/>
          </w:tcPr>
          <w:p>
            <w:r>
              <w:rPr>
                <w:sz w:val="20"/>
              </w:rPr>
              <w:t>◐</w:t>
            </w:r>
          </w:p>
        </w:tc>
        <w:tc>
          <w:tcPr>
            <w:tcW w:type="dxa" w:w="1215"/>
          </w:tcPr>
          <w:p>
            <w:r>
              <w:rPr>
                <w:sz w:val="20"/>
              </w:rPr>
            </w:r>
          </w:p>
        </w:tc>
        <w:tc>
          <w:tcPr>
            <w:tcW w:type="dxa" w:w="1215"/>
          </w:tcPr>
          <w:p>
            <w:r>
              <w:rPr>
                <w:sz w:val="20"/>
              </w:rPr>
              <w:t>◐</w:t>
            </w:r>
          </w:p>
        </w:tc>
        <w:tc>
          <w:tcPr>
            <w:tcW w:type="dxa" w:w="1215"/>
          </w:tcPr>
          <w:p>
            <w:r>
              <w:rPr>
                <w:sz w:val="20"/>
              </w:rPr>
            </w:r>
          </w:p>
        </w:tc>
      </w:tr>
      <w:tr>
        <w:tc>
          <w:tcPr>
            <w:tcW w:type="dxa" w:w="1215"/>
          </w:tcPr>
          <w:p>
            <w:r>
              <w:rPr>
                <w:sz w:val="20"/>
              </w:rPr>
              <w:t>A reason to come back</w:t>
            </w:r>
          </w:p>
        </w:tc>
        <w:tc>
          <w:tcPr>
            <w:tcW w:type="dxa" w:w="1215"/>
          </w:tcPr>
          <w:p>
            <w:r>
              <w:rPr>
                <w:sz w:val="20"/>
              </w:rPr>
              <w:t>No observed return in Stage 2; Stage-3 decoupled cohort returned 15/23</w:t>
            </w:r>
          </w:p>
        </w:tc>
        <w:tc>
          <w:tcPr>
            <w:tcW w:type="dxa" w:w="1215"/>
          </w:tcPr>
          <w:p>
            <w:r>
              <w:rPr>
                <w:sz w:val="20"/>
              </w:rPr>
              <w:t>Behavioural intention (TAM/STAM)</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rPr>
          <w:i w:val="0"/>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14:paraId="09577253" w14:textId="77777777" w:rsidR="0062437E" w:rsidRDefault="00000000">
      <w:pPr>
        <w:jc w:val="both"/>
      </w:pPr>
      <w: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36A7C737" w14:textId="77777777" w:rsidR="0062437E" w:rsidRDefault="00000000">
      <w:pPr>
        <w:keepNext/>
        <w:spacing w:before="160" w:after="40"/>
        <w:jc w:val="center"/>
      </w:pPr>
      <w:r>
        <w:drawing>
          <wp:inline xmlns:a="http://schemas.openxmlformats.org/drawingml/2006/main" xmlns:pic="http://schemas.openxmlformats.org/drawingml/2006/pictur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rPr>
          <w:i w:val="0"/>
        </w:rPr>
        <w:t>Stage 2 is an exploratory field study, and its boundaries are part of its design rather than flaws discovered afterwards. The sample is small and single-site, which is what allowed an embedded researcher to watch every participant's journey closely; the observation window is eight weeks, long enough to see the abandonment pattern form; the archive holds cycle counts and pre/post scores rather than timestamps, so the temporal texture of disengagement is a question for the instrumented next study. The recorded index was measured once before and once after the window on an instrument whose short-interval test-retest variability is known (Kim et al., 2018), so within-deployment change is read as a promising signal to be confirmed. Self-reports were gathered by facility staff, whose familiarity put participants at ease and may also have inclined answers toward courtesy — both effects are acknowledged. The week-2 motivational-orientation classification was withdrawn when its coding records could not be produced (§5.5); the provisional FIAS composite awaits its independent codebook; FES-I joins the baseline battery in the confirmatory study; and the clinical meaning of short-term index change is a question this thesis deliberately leaves to clinical colleagues.,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was withdrawn because its coding records could not be produced (§5.5);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ageBreakBefore/>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rPr>
          <w:i w:val="0"/>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recruitment and session language described a coordination challenge,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the author's Hong Kong-based networks — work contacts, a charity community network, university support channels and working peers in medical centres — in three age bands: 38 aged 25-44, 41 aged 45-64 and 41 aged 65-80. Recruitment materials referred to a coordination challenge and did not use medical or fall-prevention language.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The preliminary aggregates reported in this chapter were compiled from those returns as they arrived. Chapter 6 reports the preliminary aggregate record. The data logbook (Appendix G, item G.3) is structured to hold the participant-level compilation from the returned e-mails; its reconciliation sheet recomputes every preliminary indicator from the participant-level entries, so the compilation can be verified against the preliminary record as it is completed.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t>38</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t>41</w:t>
            </w:r>
          </w:p>
        </w:tc>
        <w:tc>
          <w:tcPr>
            <w:tcW w:w="1417" w:type="dxa"/>
          </w:tcPr>
          <w:p w14:paraId="02722F22" w14:textId="77777777" w:rsidR="0062437E" w:rsidRDefault="00000000">
            <w:r>
              <w:t>7 (17.1%)</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t>2 (4.9%)</w:t>
            </w:r>
          </w:p>
        </w:tc>
        <w:tc>
          <w:tcPr>
            <w:tcW w:w="1417" w:type="dxa"/>
          </w:tcPr>
          <w:p w14:paraId="5DECC06F" w14:textId="77777777" w:rsidR="0062437E" w:rsidRDefault="00000000">
            <w:r>
              <w:t>95.1%</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t>41</w:t>
            </w:r>
          </w:p>
        </w:tc>
        <w:tc>
          <w:tcPr>
            <w:tcW w:w="1417" w:type="dxa"/>
          </w:tcPr>
          <w:p w14:paraId="789C7D4D" w14:textId="77777777" w:rsidR="0062437E" w:rsidRDefault="00000000">
            <w:r>
              <w:t>16 (39.0%)</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t>6 (14.6%)</w:t>
            </w:r>
          </w:p>
        </w:tc>
        <w:tc>
          <w:tcPr>
            <w:tcW w:w="1417" w:type="dxa"/>
          </w:tcPr>
          <w:p w14:paraId="096D5843" w14:textId="77777777" w:rsidR="0062437E" w:rsidRDefault="00000000">
            <w:r>
              <w:t>85.4%</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t>65.8%</w:t>
            </w:r>
          </w:p>
        </w:tc>
        <w:tc>
          <w:tcPr>
            <w:tcW w:w="1701" w:type="dxa"/>
          </w:tcPr>
          <w:p w14:paraId="6CB33CE3" w14:textId="77777777" w:rsidR="0062437E" w:rsidRDefault="00000000">
            <w:r>
              <w:t>68.3%</w:t>
            </w:r>
          </w:p>
        </w:tc>
        <w:tc>
          <w:tcPr>
            <w:tcW w:w="1701" w:type="dxa"/>
          </w:tcPr>
          <w:p w14:paraId="3333BB3D" w14:textId="77777777" w:rsidR="0062437E" w:rsidRDefault="00000000">
            <w:r>
              <w:t>56.1%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coordination endorsement tests whether the participant recognised the presented activity as a coordination challenge. It is a frame-recognition measure and is not read as a measure of motivational orientation.</w:t>
      </w:r>
    </w:p>
    <w:p>
      <w:r>
        <w:t>Note on Table 6.3: coordination-challenge endorsement was reported in the preliminary summary only as a total (86 of 120, 71.7%); the per-age-band breakdown will be reported with the full participant-level analysis, so it is shown as not yet reported.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rPr>
          <w:i w:val="0"/>
        </w:rPr>
        <w:t>Figure 6.1 was regenerated directly from the counts reported in Table 6.2.</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rPr>
          <w:i w:val="0"/>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14:paraId="0A108184" w14:textId="77777777" w:rsidR="0062437E" w:rsidRDefault="00000000">
      <w:pPr>
        <w:jc w:val="both"/>
      </w:pPr>
      <w: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14:paraId="36455B5A" w14:textId="77777777" w:rsidR="0062437E" w:rsidRDefault="00000000">
      <w:pPr>
        <w:keepNext/>
        <w:spacing w:before="160" w:after="40"/>
        <w:jc w:val="center"/>
      </w:pPr>
      <w:r>
        <w:drawing>
          <wp:inline xmlns:a="http://schemas.openxmlformats.org/drawingml/2006/main" xmlns:pic="http://schemas.openxmlformats.org/drawingml/2006/pictur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14:paraId="1DCE6097" w14:textId="77777777" w:rsidR="0062437E" w:rsidRDefault="00000000">
      <w:pPr>
        <w:pStyle w:val="FigureCaption"/>
        <w:jc w:val="center"/>
      </w:pPr>
      <w:bookmarkStart w:id="102" w:name="_Toc232024691"/>
      <w:bookmarkEnd w:id="102"/>
      <w:r>
        <w:t>Figure 6.3. Retention versus regular-use intention by age band: the 29.3-pp commitment gap in the 65–80 band.</w:t>
      </w:r>
    </w:p>
    <w:p>
      <w:pPr>
        <w:pStyle w:val="Heading2"/>
      </w:pPr>
      <w:r>
        <w:t>6.8A The Commitment Gap Read Through Group Dynamics: An Expert Consultation</w:t>
      </w:r>
    </w:p>
    <w:p>
      <w: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rPr>
          <w:i w:val="0"/>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t>Early disengagement, ≤ 3 cycles (Stage 2)</w:t>
            </w:r>
          </w:p>
        </w:tc>
        <w:tc>
          <w:tcPr>
            <w:tcW w:w="1092" w:type="dxa"/>
          </w:tcPr>
          <w:p>
            <w:r>
              <w:t>70.0%</w:t>
            </w:r>
          </w:p>
        </w:tc>
        <w:tc>
          <w:tcPr>
            <w:tcW w:w="1280" w:type="dxa"/>
          </w:tcPr>
          <w:p>
            <w:r>
              <w:t>52.1–83.3%*</w:t>
            </w:r>
          </w:p>
        </w:tc>
        <w:tc>
          <w:tcPr>
            <w:tcW w:w="605" w:type="dxa"/>
          </w:tcPr>
          <w:p>
            <w:r>
              <w:t>30</w:t>
            </w:r>
          </w:p>
        </w:tc>
        <w:tc>
          <w:tcPr>
            <w:tcW w:w="2090" w:type="dxa"/>
          </w:tcPr>
          <w:p>
            <w:r>
              <w:t>Wilson score interval; Table 5.2. (Survival modelling withdrawn: no time variable in the archive; §5.5)</w:t>
            </w:r>
          </w:p>
        </w:tc>
      </w:tr>
      <w:tr w:rsidR="0062437E" w14:paraId="252E1D0D" w14:textId="77777777" w:rsidTr="006D68FE">
        <w:trPr>
          <w:jc w:val="center"/>
        </w:trPr>
        <w:tc>
          <w:tcPr>
            <w:tcW w:w="3114" w:type="dxa"/>
          </w:tcPr>
          <w:p>
            <w:r>
              <w:t>FRA index change, sustained participants (Stage 2)</w:t>
            </w:r>
          </w:p>
        </w:tc>
        <w:tc>
          <w:tcPr>
            <w:tcW w:w="1092" w:type="dxa"/>
          </w:tcPr>
          <w:p>
            <w:r>
              <w:t>dz = 2.22 (paired); mean +6.9 points</w:t>
            </w:r>
          </w:p>
        </w:tc>
        <w:tc>
          <w:tcPr>
            <w:tcW w:w="1280" w:type="dxa"/>
          </w:tcPr>
          <w:p>
            <w:r>
              <w:t>dz 0.95–3.46; mean 4.5–9.3</w:t>
            </w:r>
          </w:p>
        </w:tc>
        <w:tc>
          <w:tcPr>
            <w:tcW w:w="605" w:type="dxa"/>
          </w:tcPr>
          <w:p>
            <w:r>
              <w:t>9</w:t>
            </w:r>
          </w:p>
        </w:tc>
        <w:tc>
          <w:tcPr>
            <w:tcW w:w="2090" w:type="dxa"/>
          </w:tcPr>
          <w:p>
            <w:r>
              <w:t>Paired t and Wilcoxon; §5.5</w:t>
            </w:r>
          </w:p>
        </w:tc>
      </w:tr>
      <w:tr w:rsidR="0062437E" w14:paraId="305A8ACF" w14:textId="77777777" w:rsidTr="006D68FE">
        <w:trPr>
          <w:jc w:val="center"/>
        </w:trPr>
        <w:tc>
          <w:tcPr>
            <w:tcW w:w="3114" w:type="dxa"/>
          </w:tcPr>
          <w:p>
            <w:r>
              <w:t>FRA index change, all participants (Stage 2, archived paired data)</w:t>
            </w:r>
          </w:p>
        </w:tc>
        <w:tc>
          <w:tcPr>
            <w:tcW w:w="1092" w:type="dxa"/>
          </w:tcPr>
          <w:p>
            <w:r>
              <w:t>dz = 0.42; mean +4.0 points</w:t>
            </w:r>
          </w:p>
        </w:tc>
        <w:tc>
          <w:tcPr>
            <w:tcW w:w="1280" w:type="dxa"/>
          </w:tcPr>
          <w:p>
            <w:r>
              <w:t>dz 0.05–0.79; mean 0.5–7.6</w:t>
            </w:r>
          </w:p>
        </w:tc>
        <w:tc>
          <w:tcPr>
            <w:tcW w:w="605" w:type="dxa"/>
          </w:tcPr>
          <w:p>
            <w:r>
              <w:t>30</w:t>
            </w:r>
          </w:p>
        </w:tc>
        <w:tc>
          <w:tcPr>
            <w:tcW w:w="2090" w:type="dxa"/>
          </w:tcPr>
          <w:p>
            <w:r>
              <w:t>Paired t and Wilcoxon; §5.5</w:t>
            </w:r>
          </w:p>
        </w:tc>
      </w:tr>
      <w:tr w:rsidR="0062437E" w14:paraId="78498404" w14:textId="77777777" w:rsidTr="006D68FE">
        <w:trPr>
          <w:jc w:val="center"/>
        </w:trPr>
        <w:tc>
          <w:tcPr>
            <w:tcW w:w="3114" w:type="dxa"/>
          </w:tcPr>
          <w:p>
            <w:r>
              <w:t>Satisfaction association with sustained engagement (Stage 2)</w:t>
            </w:r>
          </w:p>
        </w:tc>
        <w:tc>
          <w:tcPr>
            <w:tcW w:w="1092" w:type="dxa"/>
          </w:tcPr>
          <w:p>
            <w:r>
              <w:t>9/9 vs 11/21 satisfied</w:t>
            </w:r>
          </w:p>
        </w:tc>
        <w:tc>
          <w:tcPr>
            <w:tcW w:w="1280" w:type="dxa"/>
          </w:tcPr>
          <w:p>
            <w:r>
              <w:t>p = 0.013</w:t>
            </w:r>
          </w:p>
        </w:tc>
        <w:tc>
          <w:tcPr>
            <w:tcW w:w="605" w:type="dxa"/>
          </w:tcPr>
          <w:p>
            <w:r>
              <w:t>30</w:t>
            </w:r>
          </w:p>
        </w:tc>
        <w:tc>
          <w:tcPr>
            <w:tcW w:w="2090" w:type="dxa"/>
          </w:tcPr>
          <w:p>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t>14.6%</w:t>
            </w:r>
          </w:p>
        </w:tc>
        <w:tc>
          <w:tcPr>
            <w:tcW w:w="1280" w:type="dxa"/>
          </w:tcPr>
          <w:p w14:paraId="16BDF4BA" w14:textId="77777777" w:rsidR="0062437E" w:rsidRDefault="00000000">
            <w:r>
              <w:t>6.9–28.4%*</w:t>
            </w:r>
          </w:p>
        </w:tc>
        <w:tc>
          <w:tcPr>
            <w:tcW w:w="605" w:type="dxa"/>
          </w:tcPr>
          <w:p w14:paraId="106237E0" w14:textId="77777777" w:rsidR="0062437E" w:rsidRDefault="00000000">
            <w:r>
              <w:t>41</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t>56.1%</w:t>
            </w:r>
          </w:p>
        </w:tc>
        <w:tc>
          <w:tcPr>
            <w:tcW w:w="1280" w:type="dxa"/>
          </w:tcPr>
          <w:p w14:paraId="102F2A94" w14:textId="77777777" w:rsidR="0062437E" w:rsidRDefault="00000000">
            <w:r>
              <w:t>41.0–70.1%*</w:t>
            </w:r>
          </w:p>
        </w:tc>
        <w:tc>
          <w:tcPr>
            <w:tcW w:w="605" w:type="dxa"/>
          </w:tcPr>
          <w:p w14:paraId="7C812AF5" w14:textId="77777777" w:rsidR="0062437E" w:rsidRDefault="00000000">
            <w:r>
              <w:t>41</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t>29.3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t>41</w:t>
            </w:r>
          </w:p>
        </w:tc>
        <w:tc>
          <w:tcPr>
            <w:tcW w:w="2090" w:type="dxa"/>
          </w:tcPr>
          <w:p w14:paraId="67A137BA" w14:textId="77777777" w:rsidR="00EE7E37" w:rsidRDefault="00000000">
            <w:r>
              <w:t>Difference between distinct outcomes (85.4% retention and 56.1%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ageBreakBefore/>
      </w:pPr>
      <w:bookmarkEnd w:id="111"/>
      <w:r>
        <w:t>Chapter 7 Discussion: Adaptive Learning as the Behavioural-Change Driver</w:t>
      </w:r>
    </w:p>
    <w:p w14:paraId="108FF019" w14:textId="77777777" w:rsidR="0062437E" w:rsidRDefault="00000000">
      <w:pPr>
        <w:pStyle w:val="Heading2"/>
      </w:pPr>
      <w:r>
        <w:t>7.1 Why the Empirical Programme Forces Adaptive Learning</w:t>
      </w:r>
    </w:p>
    <w:p w14:paraId="7CFAB031" w14:textId="77777777" w:rsidR="0062437E" w:rsidRDefault="00000000">
      <w:pPr>
        <w:jc w:val="both"/>
      </w:pPr>
      <w: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bookmarkEnd w:id="113"/>
      <w:r>
        <w:t>7.4 Formalising the Discovery: The Adaptive-Learning Framework</w:t>
      </w:r>
    </w:p>
    <w:p w14:paraId="41ACFB1A" w14:textId="77777777" w:rsidR="0062437E" w:rsidRDefault="00000000">
      <w:pPr>
        <w:jc w:val="both"/>
      </w:pPr>
      <w: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14:paraId="2429DB7B" w14:textId="77777777" w:rsidR="0062437E" w:rsidRDefault="00000000">
      <w:pPr>
        <w:pStyle w:val="TableCaption"/>
        <w:jc w:val="center"/>
      </w:pPr>
      <w:bookmarkStart w:id="114" w:name="_Toc232024705"/>
      <w:bookmarkEnd w:id="114"/>
      <w:r>
        <w:t>Table 7.1. adaptive-learning principles, function and empirical anchor.</w:t>
      </w:r>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bookmarkEnd w:id="115"/>
      <w:r>
        <w:t>7.5 Prototype Stack: Engineering-Actionable Implementation</w:t>
      </w:r>
    </w:p>
    <w:p w14:paraId="2BA671F8" w14:textId="77777777" w:rsidR="0062437E" w:rsidRDefault="00000000">
      <w:pPr>
        <w:jc w:val="both"/>
      </w:pPr>
      <w: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bookmarkEnd w:id="117"/>
      <w:r>
        <w:t>Table 7.2. adaptive-learning reference stack (L0–L7) mapped to adaptive-learning principles.</w:t>
      </w:r>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The adaptive-learning framework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Adaptive-Learning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drawing>
          <wp:inline xmlns:a="http://schemas.openxmlformats.org/drawingml/2006/main" xmlns:pic="http://schemas.openxmlformats.org/drawingml/2006/pictur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14:paraId="2910E907" w14:textId="77777777" w:rsidR="0062437E" w:rsidRDefault="00000000">
      <w:pPr>
        <w:pStyle w:val="FigureCaption"/>
        <w:jc w:val="center"/>
      </w:pPr>
      <w:bookmarkStart w:id="118" w:name="_Toc232024692"/>
      <w:bookmarkEnd w:id="118"/>
      <w:r>
        <w:t>Figure 7.1. adaptive-learning reference stack: existing five-layer FRA architecture (L0–L4) extended with three additional layers (L5 User-Facing Trajectory; L6 Staff Coaching Protocol; L7 Adaptive-Learning Telemetry).</w:t>
      </w:r>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t>7.5A One Architecture: Phenomenon, Principles, Engine</w:t>
      </w:r>
    </w:p>
    <w:p>
      <w: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ageBreakBefore/>
      </w:pPr>
      <w:r>
        <w:lastRenderedPageBreak/>
        <w:t>Chapter 8 Contributions, Alternative Explanations, Limitations and Ethics</w:t>
      </w:r>
      <w:bookmarkEnd w:id="130"/>
    </w:p>
    <w:p>
      <w: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TableCaption"/>
      </w:pPr>
      <w: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sz w:val="20"/>
              </w:rPr>
              <w:t>Register</w:t>
            </w:r>
          </w:p>
        </w:tc>
        <w:tc>
          <w:tcPr>
            <w:tcW w:type="dxa" w:w="2835"/>
          </w:tcPr>
          <w:p>
            <w:r>
              <w:rPr>
                <w:b/>
                <w:sz w:val="20"/>
              </w:rPr>
              <w:t>Contribution</w:t>
            </w:r>
          </w:p>
        </w:tc>
        <w:tc>
          <w:tcPr>
            <w:tcW w:type="dxa" w:w="2835"/>
          </w:tcPr>
          <w:p>
            <w:r>
              <w:rPr>
                <w:b/>
                <w:sz w:val="20"/>
              </w:rPr>
              <w:t>Stated in</w:t>
            </w:r>
          </w:p>
        </w:tc>
      </w:tr>
      <w:tr>
        <w:tc>
          <w:tcPr>
            <w:tcW w:type="dxa" w:w="2835"/>
          </w:tcPr>
          <w:p>
            <w:r>
              <w:rPr>
                <w:sz w:val="20"/>
              </w:rPr>
              <w:t>Scientific</w:t>
            </w:r>
          </w:p>
        </w:tc>
        <w:tc>
          <w:tcPr>
            <w:tcW w:type="dxa" w:w="2835"/>
          </w:tcPr>
          <w:p>
            <w:r>
              <w:rPr>
                <w:sz w:val="20"/>
              </w:rPr>
              <w:t>FIAS as a provisional behavioural construct; the coupling boundary condition for gamification theory; the competing-appraisal account (endowment protection versus learning trajectory)</w:t>
            </w:r>
          </w:p>
        </w:tc>
        <w:tc>
          <w:tcPr>
            <w:tcW w:type="dxa" w:w="2835"/>
          </w:tcPr>
          <w:p>
            <w:r>
              <w:rPr>
                <w:sz w:val="20"/>
              </w:rPr>
              <w:t>§8.1, §8.3; Chs 2, 9</w:t>
            </w:r>
          </w:p>
        </w:tc>
      </w:tr>
      <w:tr>
        <w:tc>
          <w:tcPr>
            <w:tcW w:type="dxa" w:w="2835"/>
          </w:tcPr>
          <w:p>
            <w:r>
              <w:rPr>
                <w:sz w:val="20"/>
              </w:rPr>
              <w:t>Engineering</w:t>
            </w:r>
          </w:p>
        </w:tc>
        <w:tc>
          <w:tcPr>
            <w:tcW w:type="dxa" w:w="2835"/>
          </w:tcPr>
          <w:p>
            <w:r>
              <w:rPr>
                <w:sz w:val="20"/>
              </w:rPr>
              <w:t>The adaptive-learning framework — three principles over the failure-appraisal chain — and the dynamic game-state engine that operationalises it in real time</w:t>
            </w:r>
          </w:p>
        </w:tc>
        <w:tc>
          <w:tcPr>
            <w:tcW w:type="dxa" w:w="2835"/>
          </w:tcPr>
          <w:p>
            <w:r>
              <w:rPr>
                <w:sz w:val="20"/>
              </w:rPr>
              <w:t>Ch 7 (§7.4, §7.5, §7.5A); §8.4</w:t>
            </w:r>
          </w:p>
        </w:tc>
      </w:tr>
      <w:tr>
        <w:tc>
          <w:tcPr>
            <w:tcW w:type="dxa" w:w="2835"/>
          </w:tcPr>
          <w:p>
            <w:r>
              <w:rPr>
                <w:sz w:val="20"/>
              </w:rPr>
              <w:t>Industrial</w:t>
            </w:r>
          </w:p>
        </w:tc>
        <w:tc>
          <w:tcPr>
            <w:tcW w:type="dxa" w:w="2835"/>
          </w:tcPr>
          <w:p>
            <w:r>
              <w:rPr>
                <w:sz w:val="20"/>
              </w:rPr>
              <w:t>A deployment template on existing FRA infrastructure (decoupled presentation, trajectory layer, staff protocol) and addressable-population evidence for planning</w:t>
            </w:r>
          </w:p>
        </w:tc>
        <w:tc>
          <w:tcPr>
            <w:tcW w:type="dxa" w:w="2835"/>
          </w:tcPr>
          <w:p>
            <w:r>
              <w:rPr>
                <w:sz w:val="20"/>
              </w:rPr>
              <w:t>§8.4; §9.8</w:t>
            </w:r>
          </w:p>
        </w:tc>
      </w:tr>
      <w:tr>
        <w:tc>
          <w:tcPr>
            <w:tcW w:type="dxa" w:w="2835"/>
          </w:tcPr>
          <w:p>
            <w:r>
              <w:rPr>
                <w:sz w:val="20"/>
              </w:rPr>
              <w:t>Methodological</w:t>
            </w:r>
          </w:p>
        </w:tc>
        <w:tc>
          <w:tcPr>
            <w:tcW w:type="dxa" w:w="2835"/>
          </w:tcPr>
          <w:p>
            <w:r>
              <w:rPr>
                <w:sz w:val="20"/>
              </w:rPr>
              <w:t>The null-hypothesis-plus-attribution architecture; the dual-purpose mechanic; the QFD evidence-to-design pipeline; the commitment-gap measurement</w:t>
            </w:r>
          </w:p>
        </w:tc>
        <w:tc>
          <w:tcPr>
            <w:tcW w:type="dxa" w:w="2835"/>
          </w:tcPr>
          <w:p>
            <w:r>
              <w:rPr>
                <w:sz w:val="20"/>
              </w:rPr>
              <w:t>§8.2; Table 3.1</w:t>
            </w:r>
          </w:p>
        </w:tc>
      </w:tr>
    </w:tbl>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rPr>
          <w:i w:val="0"/>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preliminary aggregate record;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t>8.6B Extending the Unit of Analysis: Abandonment as a Three-Party Decision</w:t>
      </w:r>
    </w:p>
    <w:p>
      <w: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rPr>
          <w:i w:val="0"/>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preliminary aggregate results have been compiled, and the participant-level records support analysis beyond them. The archived logbook holds the preliminary aggregates together with a reconciliation harness that checks every participant-level entry against them (Appendix G, item G.3); Chapter 6 rests on the preliminary aggregate record, which the completed analysis will extend.</w:t>
      </w:r>
    </w:p>
    <w:p w14:paraId="440D872A" w14:textId="77777777" w:rsidR="0062437E" w:rsidRDefault="00000000">
      <w:pPr>
        <w:jc w:val="both"/>
      </w:pPr>
      <w:r>
        <w:rPr>
          <w:i w:val="0"/>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ageBreakBefore/>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14:paraId="6657E3B0" w14:textId="77777777" w:rsidR="0062437E" w:rsidRDefault="00000000">
      <w:pPr>
        <w:jc w:val="both"/>
      </w:pPr>
      <w:r>
        <w:rPr>
          <w:i w:val="0"/>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14:paraId="32A7755A" w14:textId="77777777" w:rsidR="0062437E" w:rsidRDefault="00000000">
      <w:pPr>
        <w:jc w:val="both"/>
      </w:pPr>
      <w: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are consistent with gamification theory remaining applicable to elderly engagement. Stage 3 functioned as the programme's positive control (§6.1): the same apparatus and mechanics, decoupled from the clinical attachment,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rPr>
          <w:i w:val="0"/>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drawing>
          <wp:inline xmlns:a="http://schemas.openxmlformats.org/drawingml/2006/main" xmlns:pic="http://schemas.openxmlformats.org/drawingml/2006/pictur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14:paraId="3CB31C06" w14:textId="77777777" w:rsidR="0062437E" w:rsidRDefault="00000000">
      <w:pPr>
        <w:jc w:val="both"/>
      </w:pPr>
      <w: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ageBreakBefore/>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ageBreakBefore/>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Each appendix identifies its bound materials and, where an item is held rather than printed, the record in which it is held.</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 Outcome-linked attributes are flagged as such in the codebook; per §5.6 the composite is a descriptive case-identification device and carries no evidential weight.</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bookmarkEnd w:id="176"/>
      <w:r>
        <w:t>Appendix E · Five-Layer Architecture and Adaptive-Learning Reference Stack</w:t>
      </w:r>
    </w:p>
    <w:p w14:paraId="2F195BE2" w14:textId="77777777" w:rsidR="0062437E" w:rsidRDefault="00000000">
      <w:pPr>
        <w:jc w:val="both"/>
      </w:pPr>
      <w: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The full adaptive-learning reference stack adds three further layers (L5 User-Facing Trajectory, L6 Staff Coaching Protocol, L7 Adaptive-Learning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in Stage 2; absent in the Stage-3 decoupled condition (the HTML build had no clinical pipeline).</w:t>
      </w:r>
    </w:p>
    <w:p w14:paraId="799862B3" w14:textId="77777777" w:rsidR="0062437E" w:rsidRDefault="00000000">
      <w:pPr>
        <w:pStyle w:val="Heading3"/>
      </w:pPr>
      <w:bookmarkStart w:id="178" w:name="_Toc232024675"/>
      <w:bookmarkEnd w:id="178"/>
      <w:r>
        <w:t>E.2 · Layers L5–L7 (Adaptive-Learning Reference Stack)</w:t>
      </w:r>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Adaptive-Learning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r>
              <w:t>Adaptive-Learning Framework</w:t>
            </w:r>
          </w:p>
        </w:tc>
        <w:tc>
          <w:tcPr>
            <w:tcW w:w="5952" w:type="dxa"/>
          </w:tcPr>
          <w:p w14:paraId="16D5F4CF" w14:textId="77777777" w:rsidR="00EE7E37" w:rsidRDefault="00000000">
            <w: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rPr>
          <w:i w:val="0"/>
        </w:rPr>
        <w:t>G.1  Cleaned Stage-1 survey response file (CSV).</w:t>
      </w:r>
    </w:p>
    <w:p>
      <w:r>
        <w:rPr>
          <w:i w:val="0"/>
        </w:rPr>
        <w:t>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r>
        <w:t>G.3  Stage-3 data logbook (Stage3_Data_Logbook_120cases_with_Reconciliation.xlsx): codebook with provenance note, participant/telemetry/questionnaire/outcome sheets for IDs 3001–3120, the preliminary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V24: Stage 3 rewritten as remote e-mailed HTML deployment; archive claims corrected; 6.9 duplicate removed.</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