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work contacts, a charity community network, university support channels and the author's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Stage 3 thereby changed a package of participant-facing clinical cues: no clinical pre-scan was conducted, clinical and fall-risk terminology was removed, participant-facing clinical outputs were withheld, recruitment described a coordination challenge, and the interface was re-skinned.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After the Stage-3 analysis, a single expert consultation interview was conducted with Dr Sarah C.W. Yuan (Center on the Family, University of Hawai'i at Mānoa), a medical sociologist and demographer of aging whose field of practice is community group falls-prevention programming. The purpose was to test the programme's behavioural interpretation against an independent discipline and an independent field of practice — non-electronic group exercise and physical games for balance — in which none of this programme's apparatus is used. The consultation informs interpretation and design (§6.8A, §7.5.3) and is not treated as participant data; the record and its attribution basis are given in Appendix H.</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the approval reference and coverage statement are recorded in the ethics documentation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(SS-293).</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recruitment and session language described a coordination challenge,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work contacts, a charity community network, university support channels and working peers in medical centres — in three age bands: 38 aged 25-44, 41 aged 45-64 and 41 aged 65-80. Recruitment materials referred to a coordination challenge and did not use medical or fall-prevention language.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a single expert consultation interview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V28: qualitative record corrected and detailed (9 persistent-player interviews + 3 manager interviews; F4 protocol designed-not-administered).</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