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an Adaptive-Learning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surveyed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 pattern consistent with the coupling account and inconsistent with the dispositional account.</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tab/>
        <w:t>iii</w:t>
      </w:r>
    </w:p>
    <w:p w14:paraId="0A998D73" w14:textId="77777777" w:rsidR="00FD5D21" w:rsidRDefault="00FD5D21">
      <w:pPr>
        <w:pStyle w:val="TOC1"/>
        <w:tabs>
          <w:tab w:val="right" w:leader="dot" w:pos="8495"/>
        </w:tabs>
        <w:rPr>
          <w:noProof/>
        </w:rPr>
      </w:pPr>
      <w:r>
        <w:t>Acknowledgements</w:t>
        <w:tab/>
        <w:t>v</w:t>
      </w:r>
    </w:p>
    <w:p w14:paraId="3FD42362" w14:textId="77777777" w:rsidR="00FD5D21" w:rsidRDefault="00FD5D21">
      <w:pPr>
        <w:pStyle w:val="TOC1"/>
        <w:tabs>
          <w:tab w:val="right" w:leader="dot" w:pos="8495"/>
        </w:tabs>
        <w:rPr>
          <w:noProof/>
        </w:rPr>
      </w:pPr>
      <w:r>
        <w:t>Table of Contents</w:t>
        <w:tab/>
        <w:t>vi</w:t>
      </w:r>
    </w:p>
    <w:p w14:paraId="485E3FB1" w14:textId="77777777" w:rsidR="00FD5D21" w:rsidRDefault="00FD5D21">
      <w:pPr>
        <w:pStyle w:val="TOC1"/>
        <w:tabs>
          <w:tab w:val="right" w:leader="dot" w:pos="8495"/>
        </w:tabs>
        <w:rPr>
          <w:noProof/>
        </w:rPr>
      </w:pPr>
      <w:r>
        <w:t>List of Figures</w:t>
        <w:tab/>
        <w:t>xiv</w:t>
      </w:r>
    </w:p>
    <w:p w14:paraId="62BE4204" w14:textId="77777777" w:rsidR="00FD5D21" w:rsidRDefault="00FD5D21">
      <w:pPr>
        <w:pStyle w:val="TOC1"/>
        <w:tabs>
          <w:tab w:val="right" w:leader="dot" w:pos="8495"/>
        </w:tabs>
        <w:rPr>
          <w:noProof/>
        </w:rPr>
      </w:pPr>
      <w:r>
        <w:t>List of Tables</w:t>
        <w:tab/>
        <w:t>xvi</w:t>
      </w:r>
    </w:p>
    <w:p w14:paraId="37F76FB1" w14:textId="77777777" w:rsidR="00FD5D21" w:rsidRDefault="00FD5D21">
      <w:pPr>
        <w:pStyle w:val="TOC1"/>
        <w:tabs>
          <w:tab w:val="right" w:leader="dot" w:pos="8495"/>
        </w:tabs>
        <w:rPr>
          <w:noProof/>
        </w:rPr>
      </w:pPr>
      <w:r>
        <w:t>List of Abbreviations</w:t>
        <w:tab/>
        <w:t>xvii</w:t>
      </w:r>
    </w:p>
    <w:p w14:paraId="2A84A3C8" w14:textId="77777777" w:rsidR="00FD5D21" w:rsidRDefault="00FD5D21">
      <w:pPr>
        <w:pStyle w:val="TOC1"/>
        <w:tabs>
          <w:tab w:val="right" w:leader="dot" w:pos="8495"/>
        </w:tabs>
        <w:rPr>
          <w:noProof/>
        </w:rPr>
      </w:pPr>
      <w:r>
        <w:t>Chapter 1 Introduction</w:t>
        <w:tab/>
        <w:t>1</w:t>
      </w:r>
    </w:p>
    <w:p w14:paraId="3D8BF843" w14:textId="77777777" w:rsidR="00FD5D21" w:rsidRDefault="00FD5D21">
      <w:pPr>
        <w:pStyle w:val="TOC2"/>
        <w:tabs>
          <w:tab w:val="right" w:leader="dot" w:pos="8495"/>
        </w:tabs>
        <w:rPr>
          <w:noProof/>
        </w:rPr>
      </w:pPr>
      <w:r>
        <w:t>1.1 The Point of Departure: An Empty Station in a Busy Hall</w:t>
        <w:tab/>
        <w:t>1</w:t>
      </w:r>
    </w:p>
    <w:p w14:paraId="3DBFFC8E" w14:textId="77777777" w:rsidR="00FD5D21" w:rsidRDefault="00FD5D21">
      <w:pPr>
        <w:pStyle w:val="TOC2"/>
        <w:tabs>
          <w:tab w:val="right" w:leader="dot" w:pos="8495"/>
        </w:tabs>
        <w:rPr>
          <w:noProof/>
        </w:rPr>
      </w:pPr>
      <w:r>
        <w:t>1.2 Why the Empty Station Is an Industry Problem, Not a Local Problem</w:t>
        <w:tab/>
        <w:t>1</w:t>
      </w:r>
    </w:p>
    <w:p w14:paraId="0948A1BD" w14:textId="77777777" w:rsidR="00FD5D21" w:rsidRDefault="00FD5D21">
      <w:pPr>
        <w:pStyle w:val="TOC2"/>
        <w:tabs>
          <w:tab w:val="right" w:leader="dot" w:pos="8495"/>
        </w:tabs>
        <w:rPr>
          <w:noProof/>
        </w:rPr>
      </w:pPr>
      <w:r>
        <w:t>1.3 The Demographic Backdrop</w:t>
        <w:tab/>
        <w:t>2</w:t>
      </w:r>
    </w:p>
    <w:p w14:paraId="42719472" w14:textId="77777777" w:rsidR="00FD5D21" w:rsidRDefault="00FD5D21">
      <w:pPr>
        <w:pStyle w:val="TOC2"/>
        <w:tabs>
          <w:tab w:val="right" w:leader="dot" w:pos="8495"/>
        </w:tabs>
        <w:rPr>
          <w:noProof/>
        </w:rPr>
      </w:pPr>
      <w:r>
        <w:t>1.4 Falls, the Cascade, and the Fall Risk Assessment Technology</w:t>
        <w:tab/>
        <w:t>3</w:t>
      </w:r>
    </w:p>
    <w:p w14:paraId="1A58A984" w14:textId="77777777" w:rsidR="00FD5D21" w:rsidRDefault="00FD5D21">
      <w:pPr>
        <w:pStyle w:val="TOC2"/>
        <w:tabs>
          <w:tab w:val="right" w:leader="dot" w:pos="8495"/>
        </w:tabs>
        <w:rPr>
          <w:noProof/>
        </w:rPr>
      </w:pPr>
      <w:r>
        <w:t>1.5 The Working Hypothesis Formed Before the Research Began</w:t>
        <w:tab/>
        <w:t>3</w:t>
      </w:r>
    </w:p>
    <w:p w14:paraId="566BE719" w14:textId="77777777" w:rsidR="00FD5D21" w:rsidRDefault="00FD5D21">
      <w:pPr>
        <w:pStyle w:val="TOC2"/>
        <w:tabs>
          <w:tab w:val="right" w:leader="dot" w:pos="8495"/>
        </w:tabs>
        <w:rPr>
          <w:noProof/>
        </w:rPr>
      </w:pPr>
      <w:r>
        <w:t>1.6 The Initial Survey: Building the Foundation of the Programme</w:t>
        <w:tab/>
        <w:t>4</w:t>
      </w:r>
    </w:p>
    <w:p w14:paraId="048D8220" w14:textId="77777777" w:rsidR="00FD5D21" w:rsidRDefault="00FD5D21">
      <w:pPr>
        <w:pStyle w:val="TOC2"/>
        <w:tabs>
          <w:tab w:val="right" w:leader="dot" w:pos="8495"/>
        </w:tabs>
        <w:rPr>
          <w:noProof/>
        </w:rPr>
      </w:pPr>
      <w:r>
        <w:t>1.7 The Three F4 Residents and the Objective-Score-Improvement/Non-Return Paradox</w:t>
        <w:tab/>
        <w:t>5</w:t>
      </w:r>
    </w:p>
    <w:p w14:paraId="43C5C983" w14:textId="77777777" w:rsidR="00FD5D21" w:rsidRDefault="00FD5D21">
      <w:pPr>
        <w:pStyle w:val="TOC2"/>
        <w:tabs>
          <w:tab w:val="right" w:leader="dot" w:pos="8495"/>
        </w:tabs>
        <w:rPr>
          <w:noProof/>
        </w:rPr>
      </w:pPr>
      <w:r>
        <w:t>1.8 The Learn-to-Earn Philosophy: A Thread Running Through the Journey</w:t>
        <w:tab/>
        <w:t>6</w:t>
      </w:r>
    </w:p>
    <w:p w14:paraId="15D06FCC" w14:textId="77777777" w:rsidR="00FD5D21" w:rsidRDefault="00FD5D21">
      <w:pPr>
        <w:pStyle w:val="TOC2"/>
        <w:tabs>
          <w:tab w:val="right" w:leader="dot" w:pos="8495"/>
        </w:tabs>
        <w:rPr>
          <w:noProof/>
        </w:rPr>
      </w:pPr>
      <w:r>
        <w:t>1.9 The Decoupling Test and the Closure of the Empirical Arc</w:t>
        <w:tab/>
        <w:t>6</w:t>
      </w:r>
    </w:p>
    <w:p w14:paraId="785DAA57" w14:textId="77777777" w:rsidR="00FD5D21" w:rsidRDefault="00FD5D21">
      <w:pPr>
        <w:pStyle w:val="TOC2"/>
        <w:tabs>
          <w:tab w:val="right" w:leader="dot" w:pos="8495"/>
        </w:tabs>
        <w:rPr>
          <w:noProof/>
        </w:rPr>
      </w:pPr>
      <w:r>
        <w:t>1.10 The Researcher's Position</w:t>
        <w:tab/>
        <w:t>7</w:t>
      </w:r>
    </w:p>
    <w:p w14:paraId="3C5CC584" w14:textId="77777777" w:rsidR="00FD5D21" w:rsidRDefault="00FD5D21">
      <w:pPr>
        <w:pStyle w:val="TOC2"/>
        <w:tabs>
          <w:tab w:val="right" w:leader="dot" w:pos="8495"/>
        </w:tabs>
        <w:rPr>
          <w:noProof/>
        </w:rPr>
      </w:pPr>
      <w:r>
        <w:t>1.11 Aim and Research Questions</w:t>
        <w:tab/>
        <w:t>8</w:t>
      </w:r>
    </w:p>
    <w:p w14:paraId="4E1220CF" w14:textId="77777777" w:rsidR="00FD5D21" w:rsidRDefault="00FD5D21">
      <w:pPr>
        <w:pStyle w:val="TOC2"/>
        <w:tabs>
          <w:tab w:val="right" w:leader="dot" w:pos="8495"/>
        </w:tabs>
        <w:rPr>
          <w:noProof/>
        </w:rPr>
      </w:pPr>
      <w:r>
        <w:t>1.12 Original Contributions</w:t>
        <w:tab/>
        <w:t>9</w:t>
      </w:r>
    </w:p>
    <w:p w14:paraId="28818675" w14:textId="77777777" w:rsidR="00FD5D21" w:rsidRDefault="00FD5D21">
      <w:pPr>
        <w:pStyle w:val="TOC2"/>
        <w:tabs>
          <w:tab w:val="right" w:leader="dot" w:pos="8495"/>
        </w:tabs>
        <w:rPr>
          <w:noProof/>
        </w:rPr>
      </w:pPr>
      <w:r>
        <w:t>1.13 Scope, Boundaries, and What This Thesis Does Not Claim</w:t>
        <w:tab/>
        <w:t>9</w:t>
      </w:r>
    </w:p>
    <w:p w14:paraId="0C100781" w14:textId="77777777" w:rsidR="00FD5D21" w:rsidRDefault="00FD5D21">
      <w:pPr>
        <w:pStyle w:val="TOC2"/>
        <w:tabs>
          <w:tab w:val="right" w:leader="dot" w:pos="8495"/>
        </w:tabs>
        <w:rPr>
          <w:noProof/>
        </w:rPr>
      </w:pPr>
      <w:r>
        <w:t>1.14 Structure of the Thesis</w:t>
        <w:tab/>
        <w:t>10</w:t>
      </w:r>
    </w:p>
    <w:p w14:paraId="5DFCA0E6" w14:textId="77777777" w:rsidR="00FD5D21" w:rsidRDefault="00FD5D21">
      <w:pPr>
        <w:pStyle w:val="TOC1"/>
        <w:tabs>
          <w:tab w:val="right" w:leader="dot" w:pos="8495"/>
        </w:tabs>
        <w:rPr>
          <w:noProof/>
        </w:rPr>
      </w:pPr>
      <w:r>
        <w:t>Chapter 2 Literature Review and Theoretical Foundation</w:t>
        <w:tab/>
        <w:t>11</w:t>
      </w:r>
    </w:p>
    <w:p w14:paraId="3FB58ADF" w14:textId="77777777" w:rsidR="00FD5D21" w:rsidRDefault="00FD5D21">
      <w:pPr>
        <w:pStyle w:val="TOC2"/>
        <w:tabs>
          <w:tab w:val="right" w:leader="dot" w:pos="8495"/>
        </w:tabs>
        <w:rPr>
          <w:noProof/>
        </w:rPr>
      </w:pPr>
      <w:r>
        <w:t>2.1 The Transformative Logic of the Literature Review</w:t>
        <w:tab/>
        <w:t>11</w:t>
      </w:r>
    </w:p>
    <w:p w14:paraId="329D5565" w14:textId="77777777" w:rsidR="00FD5D21" w:rsidRDefault="00FD5D21">
      <w:pPr>
        <w:pStyle w:val="TOC2"/>
        <w:tabs>
          <w:tab w:val="right" w:leader="dot" w:pos="8495"/>
        </w:tabs>
        <w:rPr>
          <w:noProof/>
        </w:rPr>
      </w:pPr>
      <w:r>
        <w:t>2.2 Stage One: The Technology Acceptance Lineage</w:t>
        <w:tab/>
        <w:t>12</w:t>
      </w:r>
    </w:p>
    <w:p w14:paraId="58E1C900" w14:textId="77777777" w:rsidR="00FD5D21" w:rsidRDefault="00FD5D21">
      <w:pPr>
        <w:pStyle w:val="TOC3"/>
        <w:tabs>
          <w:tab w:val="right" w:leader="dot" w:pos="8495"/>
        </w:tabs>
        <w:rPr>
          <w:noProof/>
        </w:rPr>
      </w:pPr>
      <w:r>
        <w:t>2.2.1 TAM and the Two-Construct Core</w:t>
        <w:tab/>
        <w:t>12</w:t>
      </w:r>
    </w:p>
    <w:p w14:paraId="68E8DF83" w14:textId="77777777" w:rsidR="00FD5D21" w:rsidRDefault="00FD5D21">
      <w:pPr>
        <w:pStyle w:val="TOC3"/>
        <w:tabs>
          <w:tab w:val="right" w:leader="dot" w:pos="8495"/>
        </w:tabs>
        <w:rPr>
          <w:noProof/>
        </w:rPr>
      </w:pPr>
      <w:r>
        <w:lastRenderedPageBreak/>
        <w:t>2.2.2 TAM2, TAM3 and UTAUT</w:t>
        <w:tab/>
        <w:t>12</w:t>
      </w:r>
    </w:p>
    <w:p w14:paraId="48D38E9D" w14:textId="77777777" w:rsidR="00FD5D21" w:rsidRDefault="00FD5D21">
      <w:pPr>
        <w:pStyle w:val="TOC3"/>
        <w:tabs>
          <w:tab w:val="right" w:leader="dot" w:pos="8495"/>
        </w:tabs>
        <w:rPr>
          <w:noProof/>
        </w:rPr>
      </w:pPr>
      <w:r>
        <w:t>2.2.3 The Senior Technology Acceptance Model (STAM)</w:t>
        <w:tab/>
        <w:t>13</w:t>
      </w:r>
    </w:p>
    <w:p w14:paraId="7712F7B2" w14:textId="77777777" w:rsidR="00FD5D21" w:rsidRDefault="00FD5D21">
      <w:pPr>
        <w:pStyle w:val="TOC2"/>
        <w:tabs>
          <w:tab w:val="right" w:leader="dot" w:pos="8495"/>
        </w:tabs>
        <w:rPr>
          <w:noProof/>
        </w:rPr>
      </w:pPr>
      <w:r>
        <w:t>2.3 Stage Two: Gamification, Octalysis and the An–Cheung Demonstration</w:t>
        <w:tab/>
        <w:t>13</w:t>
      </w:r>
    </w:p>
    <w:p w14:paraId="2DB55FA0" w14:textId="77777777" w:rsidR="00FD5D21" w:rsidRDefault="00FD5D21">
      <w:pPr>
        <w:pStyle w:val="TOC3"/>
        <w:tabs>
          <w:tab w:val="right" w:leader="dot" w:pos="8495"/>
        </w:tabs>
        <w:rPr>
          <w:noProof/>
        </w:rPr>
      </w:pPr>
      <w:r>
        <w:t>2.3.1 Defining Gamification</w:t>
        <w:tab/>
        <w:t>13</w:t>
      </w:r>
    </w:p>
    <w:p w14:paraId="22224FA0" w14:textId="77777777" w:rsidR="00FD5D21" w:rsidRDefault="00FD5D21">
      <w:pPr>
        <w:pStyle w:val="TOC3"/>
        <w:tabs>
          <w:tab w:val="right" w:leader="dot" w:pos="8495"/>
        </w:tabs>
        <w:rPr>
          <w:noProof/>
        </w:rPr>
      </w:pPr>
      <w:r>
        <w:t>2.3.2 The Octalysis Framework</w:t>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tab/>
        <w:t>14</w:t>
      </w:r>
    </w:p>
    <w:p w14:paraId="7B53A685" w14:textId="77777777" w:rsidR="00FD5D21" w:rsidRDefault="00FD5D21">
      <w:pPr>
        <w:pStyle w:val="TOC3"/>
        <w:tabs>
          <w:tab w:val="right" w:leader="dot" w:pos="8495"/>
        </w:tabs>
        <w:rPr>
          <w:noProof/>
        </w:rPr>
      </w:pPr>
      <w:r>
        <w:t>2.3.4 The Boundary: When the Technology is Attached to FRA</w:t>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tab/>
        <w:t>15</w:t>
      </w:r>
    </w:p>
    <w:p w14:paraId="48283D30" w14:textId="77777777" w:rsidR="00FD5D21" w:rsidRDefault="00FD5D21">
      <w:pPr>
        <w:pStyle w:val="TOC3"/>
        <w:tabs>
          <w:tab w:val="right" w:leader="dot" w:pos="8495"/>
        </w:tabs>
        <w:rPr>
          <w:noProof/>
        </w:rPr>
      </w:pPr>
      <w:r>
        <w:t>2.4.1 Bandura's Self-Efficacy</w:t>
        <w:tab/>
        <w:t>15</w:t>
      </w:r>
    </w:p>
    <w:p w14:paraId="4AC03ED7" w14:textId="77777777" w:rsidR="00FD5D21" w:rsidRDefault="00FD5D21">
      <w:pPr>
        <w:pStyle w:val="TOC3"/>
        <w:tabs>
          <w:tab w:val="right" w:leader="dot" w:pos="8495"/>
        </w:tabs>
        <w:rPr>
          <w:noProof/>
        </w:rPr>
      </w:pPr>
      <w:r>
        <w:t>2.4.2 Computer Self-Efficacy Among Older Adults</w:t>
        <w:tab/>
        <w:t>15</w:t>
      </w:r>
    </w:p>
    <w:p w14:paraId="4C37A73B" w14:textId="77777777" w:rsidR="00FD5D21" w:rsidRDefault="00FD5D21">
      <w:pPr>
        <w:pStyle w:val="TOC3"/>
        <w:tabs>
          <w:tab w:val="right" w:leader="dot" w:pos="8495"/>
        </w:tabs>
        <w:rPr>
          <w:noProof/>
        </w:rPr>
      </w:pPr>
      <w:r>
        <w:t>2.4.3 The Fear-and-Failure Cycle</w:t>
        <w:tab/>
        <w:t>16</w:t>
      </w:r>
    </w:p>
    <w:p w14:paraId="0E175635" w14:textId="77777777" w:rsidR="00FD5D21" w:rsidRDefault="00FD5D21">
      <w:pPr>
        <w:pStyle w:val="TOC3"/>
        <w:tabs>
          <w:tab w:val="right" w:leader="dot" w:pos="8495"/>
        </w:tabs>
        <w:rPr>
          <w:noProof/>
        </w:rPr>
      </w:pPr>
      <w:r>
        <w:t>2.4.4 What Self-Efficacy Explains and What It Does Not</w:t>
        <w:tab/>
        <w:t>16</w:t>
      </w:r>
    </w:p>
    <w:p w14:paraId="3052E594" w14:textId="77777777" w:rsidR="00FD5D21" w:rsidRDefault="00FD5D21">
      <w:pPr>
        <w:pStyle w:val="TOC2"/>
        <w:tabs>
          <w:tab w:val="right" w:leader="dot" w:pos="8495"/>
        </w:tabs>
        <w:rPr>
          <w:noProof/>
        </w:rPr>
      </w:pPr>
      <w:r>
        <w:t>2.5 Stage Four: Behavioural Science as a Candidate FIAS Account</w:t>
        <w:tab/>
        <w:t>16</w:t>
      </w:r>
    </w:p>
    <w:p w14:paraId="773E2CB0" w14:textId="77777777" w:rsidR="00FD5D21" w:rsidRDefault="00FD5D21">
      <w:pPr>
        <w:pStyle w:val="TOC3"/>
        <w:tabs>
          <w:tab w:val="right" w:leader="dot" w:pos="8495"/>
        </w:tabs>
        <w:rPr>
          <w:noProof/>
        </w:rPr>
      </w:pPr>
      <w:r>
        <w:t>2.5.1 Why Behavioural Science Is Required</w:t>
        <w:tab/>
        <w:t>16</w:t>
      </w:r>
    </w:p>
    <w:p w14:paraId="2745588C" w14:textId="77777777" w:rsidR="00FD5D21" w:rsidRDefault="00FD5D21">
      <w:pPr>
        <w:pStyle w:val="TOC3"/>
        <w:tabs>
          <w:tab w:val="right" w:leader="dot" w:pos="8495"/>
        </w:tabs>
        <w:rPr>
          <w:noProof/>
        </w:rPr>
      </w:pPr>
      <w:r>
        <w:t>2.5.2 Prospect Theory and Loss Aversion</w:t>
        <w:tab/>
        <w:t>17</w:t>
      </w:r>
    </w:p>
    <w:p w14:paraId="2A62A909" w14:textId="77777777" w:rsidR="00FD5D21" w:rsidRDefault="00FD5D21">
      <w:pPr>
        <w:pStyle w:val="TOC3"/>
        <w:tabs>
          <w:tab w:val="right" w:leader="dot" w:pos="8495"/>
        </w:tabs>
        <w:rPr>
          <w:noProof/>
        </w:rPr>
      </w:pPr>
      <w:r>
        <w:t>2.5.3 The Endowment Effect on Identity-Level Assets</w:t>
        <w:tab/>
        <w:t>17</w:t>
      </w:r>
    </w:p>
    <w:p w14:paraId="25FB7E43" w14:textId="77777777" w:rsidR="00FD5D21" w:rsidRDefault="00FD5D21">
      <w:pPr>
        <w:pStyle w:val="TOC3"/>
        <w:tabs>
          <w:tab w:val="right" w:leader="dot" w:pos="8495"/>
        </w:tabs>
        <w:rPr>
          <w:noProof/>
        </w:rPr>
      </w:pPr>
      <w:r>
        <w:t>2.5.4 Mental Accounting of Health Outcomes</w:t>
        <w:tab/>
        <w:t>17</w:t>
      </w:r>
    </w:p>
    <w:p w14:paraId="3C278876" w14:textId="77777777" w:rsidR="00FD5D21" w:rsidRDefault="00FD5D21">
      <w:pPr>
        <w:pStyle w:val="TOC3"/>
        <w:tabs>
          <w:tab w:val="right" w:leader="dot" w:pos="8495"/>
        </w:tabs>
        <w:rPr>
          <w:noProof/>
        </w:rPr>
      </w:pPr>
      <w:r>
        <w:t>2.5.5 Stereotype Threat as the Trigger</w:t>
        <w:tab/>
        <w:t>18</w:t>
      </w:r>
    </w:p>
    <w:p w14:paraId="53AAF294" w14:textId="77777777" w:rsidR="00FD5D21" w:rsidRDefault="00FD5D21">
      <w:pPr>
        <w:pStyle w:val="TOC3"/>
        <w:tabs>
          <w:tab w:val="right" w:leader="dot" w:pos="8495"/>
        </w:tabs>
        <w:rPr>
          <w:noProof/>
        </w:rPr>
      </w:pPr>
      <w:r>
        <w:t>2.5.6 A Four-Layer Behavioural Integration Proposed for FIAS</w:t>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tab/>
        <w:t>19</w:t>
      </w:r>
    </w:p>
    <w:p w14:paraId="1FAC8342" w14:textId="77777777" w:rsidR="00FD5D21" w:rsidRDefault="00FD5D21">
      <w:pPr>
        <w:pStyle w:val="TOC3"/>
        <w:tabs>
          <w:tab w:val="right" w:leader="dot" w:pos="8495"/>
        </w:tabs>
        <w:rPr>
          <w:noProof/>
        </w:rPr>
      </w:pPr>
      <w:r>
        <w:t>2.6.1 The Question Stage Four Leaves Open</w:t>
        <w:tab/>
        <w:t>19</w:t>
      </w:r>
    </w:p>
    <w:p w14:paraId="38342C35" w14:textId="77777777" w:rsidR="00FD5D21" w:rsidRDefault="00FD5D21">
      <w:pPr>
        <w:pStyle w:val="TOC3"/>
        <w:tabs>
          <w:tab w:val="right" w:leader="dot" w:pos="8495"/>
        </w:tabs>
        <w:rPr>
          <w:noProof/>
        </w:rPr>
      </w:pPr>
      <w:r>
        <w:t>2.6.2 Productive Failure and Adaptive Learning</w:t>
        <w:tab/>
        <w:t>19</w:t>
      </w:r>
    </w:p>
    <w:p w14:paraId="4490ADB1" w14:textId="77777777" w:rsidR="00FD5D21" w:rsidRDefault="00FD5D21">
      <w:pPr>
        <w:pStyle w:val="TOC3"/>
        <w:tabs>
          <w:tab w:val="right" w:leader="dot" w:pos="8495"/>
        </w:tabs>
        <w:rPr>
          <w:noProof/>
        </w:rPr>
      </w:pPr>
      <w:r>
        <w:t>2.6.2A The Theoretical Lineage of Adaptive Learning</w:t>
        <w:tab/>
        <w:t>19</w:t>
      </w:r>
    </w:p>
    <w:p w14:paraId="7D64413B" w14:textId="77777777" w:rsidR="00FD5D21" w:rsidRDefault="00FD5D21">
      <w:pPr>
        <w:pStyle w:val="TOC3"/>
        <w:tabs>
          <w:tab w:val="right" w:leader="dot" w:pos="8495"/>
        </w:tabs>
        <w:rPr>
          <w:noProof/>
        </w:rPr>
      </w:pPr>
      <w:r>
        <w:t>2.6.2B Self-Determination Theory and Goal-Setting as Motivational Scaffolding</w:t>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tab/>
        <w:t>21</w:t>
      </w:r>
    </w:p>
    <w:p w14:paraId="42A44F34" w14:textId="77777777" w:rsidR="00FD5D21" w:rsidRDefault="00FD5D21">
      <w:pPr>
        <w:pStyle w:val="TOC2"/>
        <w:tabs>
          <w:tab w:val="right" w:leader="dot" w:pos="8495"/>
        </w:tabs>
        <w:rPr>
          <w:noProof/>
        </w:rPr>
      </w:pPr>
      <w:r>
        <w:t>2.7 Supporting Evidence and Adjacent Frameworks</w:t>
        <w:tab/>
        <w:t>22</w:t>
      </w:r>
    </w:p>
    <w:p w14:paraId="347F4CF1" w14:textId="77777777" w:rsidR="00FD5D21" w:rsidRDefault="00FD5D21">
      <w:pPr>
        <w:pStyle w:val="TOC3"/>
        <w:tabs>
          <w:tab w:val="right" w:leader="dot" w:pos="8495"/>
        </w:tabs>
        <w:rPr>
          <w:noProof/>
        </w:rPr>
      </w:pPr>
      <w:r>
        <w:t>2.7.1 Gamification for Older Adults: The Koivisto and Malik Review</w:t>
        <w:tab/>
        <w:t>22</w:t>
      </w:r>
    </w:p>
    <w:p w14:paraId="12B7853B" w14:textId="77777777" w:rsidR="00FD5D21" w:rsidRDefault="00FD5D21">
      <w:pPr>
        <w:pStyle w:val="TOC3"/>
        <w:tabs>
          <w:tab w:val="right" w:leader="dot" w:pos="8495"/>
        </w:tabs>
        <w:rPr>
          <w:noProof/>
        </w:rPr>
      </w:pPr>
      <w:r>
        <w:t>2.7.2 The NASSS Framework: Documented Abandonment Without a Mechanism</w:t>
        <w:tab/>
        <w:t>22</w:t>
      </w:r>
    </w:p>
    <w:p w14:paraId="257EED72" w14:textId="77777777" w:rsidR="00FD5D21" w:rsidRDefault="00FD5D21">
      <w:pPr>
        <w:pStyle w:val="TOC3"/>
        <w:tabs>
          <w:tab w:val="right" w:leader="dot" w:pos="8495"/>
        </w:tabs>
        <w:rPr>
          <w:noProof/>
        </w:rPr>
      </w:pPr>
      <w:r>
        <w:t>2.7.3 Cross-Cultural Reference: The Korean Comparison</w:t>
        <w:tab/>
        <w:t>23</w:t>
      </w:r>
    </w:p>
    <w:p w14:paraId="1167ED0F" w14:textId="77777777" w:rsidR="00FD5D21" w:rsidRDefault="00FD5D21">
      <w:pPr>
        <w:pStyle w:val="TOC3"/>
        <w:tabs>
          <w:tab w:val="right" w:leader="dot" w:pos="8495"/>
        </w:tabs>
        <w:rPr>
          <w:noProof/>
        </w:rPr>
      </w:pPr>
      <w:r>
        <w:t>2.7.4 Information Entropy as a Bridge Lens</w:t>
        <w:tab/>
        <w:t>23</w:t>
      </w:r>
    </w:p>
    <w:p w14:paraId="5AFE063B" w14:textId="77777777" w:rsidR="00FD5D21" w:rsidRDefault="00FD5D21">
      <w:pPr>
        <w:pStyle w:val="TOC2"/>
        <w:tabs>
          <w:tab w:val="right" w:leader="dot" w:pos="8495"/>
        </w:tabs>
        <w:rPr>
          <w:noProof/>
        </w:rPr>
      </w:pPr>
      <w:r>
        <w:t>2.8 Synthesis: The Five-Stage Transformative Argument</w:t>
        <w:tab/>
        <w:t>23</w:t>
      </w:r>
    </w:p>
    <w:p w14:paraId="5E41DE99" w14:textId="77777777" w:rsidR="00FD5D21" w:rsidRDefault="00FD5D21">
      <w:pPr>
        <w:pStyle w:val="TOC1"/>
        <w:tabs>
          <w:tab w:val="right" w:leader="dot" w:pos="8495"/>
        </w:tabs>
        <w:rPr>
          <w:noProof/>
        </w:rPr>
      </w:pPr>
      <w:r>
        <w:t>Chapter 3 Research Methodology</w:t>
        <w:tab/>
        <w:t>25</w:t>
      </w:r>
    </w:p>
    <w:p w14:paraId="20057345" w14:textId="77777777" w:rsidR="00FD5D21" w:rsidRDefault="00FD5D21">
      <w:pPr>
        <w:pStyle w:val="TOC2"/>
        <w:tabs>
          <w:tab w:val="right" w:leader="dot" w:pos="8495"/>
        </w:tabs>
        <w:rPr>
          <w:noProof/>
        </w:rPr>
      </w:pPr>
      <w:r>
        <w:t>3.1 Action Research as the Methodological Frame</w:t>
        <w:tab/>
        <w:t>25</w:t>
      </w:r>
    </w:p>
    <w:p w14:paraId="0C23CFD3" w14:textId="77777777" w:rsidR="00FD5D21" w:rsidRDefault="00FD5D21">
      <w:pPr>
        <w:pStyle w:val="TOC2"/>
        <w:tabs>
          <w:tab w:val="right" w:leader="dot" w:pos="8495"/>
        </w:tabs>
        <w:rPr>
          <w:noProof/>
        </w:rPr>
      </w:pPr>
      <w:r>
        <w:t>3.2 Three-Stage Design</w:t>
        <w:tab/>
        <w:t>25</w:t>
      </w:r>
    </w:p>
    <w:p w14:paraId="54E87624" w14:textId="77777777" w:rsidR="00FD5D21" w:rsidRDefault="00FD5D21">
      <w:pPr>
        <w:pStyle w:val="TOC2"/>
        <w:tabs>
          <w:tab w:val="right" w:leader="dot" w:pos="8495"/>
        </w:tabs>
        <w:rPr>
          <w:noProof/>
        </w:rPr>
      </w:pPr>
      <w:r>
        <w:t>3.3 Methodology Overview Infographic</w:t>
        <w:tab/>
        <w:t>26</w:t>
      </w:r>
    </w:p>
    <w:p w14:paraId="75092E86" w14:textId="77777777" w:rsidR="00FD5D21" w:rsidRDefault="00FD5D21">
      <w:pPr>
        <w:pStyle w:val="TOC2"/>
        <w:tabs>
          <w:tab w:val="right" w:leader="dot" w:pos="8495"/>
        </w:tabs>
        <w:rPr>
          <w:noProof/>
        </w:rPr>
      </w:pPr>
      <w:r>
        <w:t>3.4 Ethics, Consent, Data Governance</w:t>
        <w:tab/>
        <w:t>26</w:t>
      </w:r>
    </w:p>
    <w:p w14:paraId="7C4AB6A6" w14:textId="77777777" w:rsidR="00FD5D21" w:rsidRDefault="00FD5D21">
      <w:pPr>
        <w:pStyle w:val="TOC2"/>
        <w:tabs>
          <w:tab w:val="right" w:leader="dot" w:pos="8495"/>
        </w:tabs>
        <w:rPr>
          <w:noProof/>
        </w:rPr>
      </w:pPr>
      <w:r>
        <w:t>3.5 Methodological Limits and Mitigations</w:t>
        <w:tab/>
        <w:t>27</w:t>
      </w:r>
    </w:p>
    <w:p w14:paraId="594DF4C4" w14:textId="77777777" w:rsidR="00FD5D21" w:rsidRDefault="00FD5D21">
      <w:pPr>
        <w:pStyle w:val="TOC2"/>
        <w:tabs>
          <w:tab w:val="right" w:leader="dot" w:pos="8495"/>
        </w:tabs>
        <w:rPr>
          <w:noProof/>
        </w:rPr>
      </w:pPr>
      <w:r>
        <w:t>3.6 An Instrumentation Roadmap for the Adaptive-Learning Claim</w:t>
        <w:tab/>
        <w:t>27</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4 Stage 1 — From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 Purpose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4.1A What is Fall Risk Assessment (FRA)? Basic System Design and Features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4.2 The Guangzhou Survey (N = 200 of 280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4.3 TAM, STAM and the Limitation for Retired Users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4.4 Octalysis and the In-Game Loss Assumption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4.5 Behavioural Science Lenses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4.6 Terminological Correction: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4.7 Cross-Cultural Reference Point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4.8 Output and Stage-1 Limitations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5 Stage 2 — Action Research with Gamified FRA</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5.1 Research Questions and Hypotheses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 Setting and Action-Research Approach</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5.2A Integrating the FRA into the Skiing Game: The Dual-Purpose Mechanic in Detail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5.3 The Gamified Intervention — Skiing Game on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5.3.2 Game Concept and Gameplay Loop</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5.3.3 On-Screen Display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5.3.4 Five-Layer Architecture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5.3.5 Automatic Difficulty Adjustment System</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5.3.6 Data Structures and Telemetry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5.3.7 Sample User Profile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5.3.8 Why a Skiing Game?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5.3.9 Development Methodology: The Claude Code-Assisted Workflow</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5.3.10 Dynamic Game States: An Agentic-AI-Driven, Loss-Free Game Mechanic (Secondary Contribution)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5.4 Participants and Data Governance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5.5 Quantitative Findings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5.6 The F4 Cluster and the Objective-Score-Improvement/Non-Return Paradox</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50</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5.7 Theoretical Extension: Endowment, Stereotype Threat, Domain Reframing</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5.8 Information-Entropy Lens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5.9 Limitations and What Stage 2 Establishes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6 Stage 3 — Participant-Facing Decoupling: Between-Cohort Evidence for a Frame-Sensitive Account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 Why a Decoupling Stage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6.2 Research Question and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6.3 Methodology: A Participant-Facing Decoupling Package in a Separate Cohort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6.4 Participants and Apparatus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6.5 Findings: A Substantial Behavioural Shift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6.6 The Objective-Score-Improvement/Non-Return Paradox Reconsidered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6.7 Frame-Sensitive versus Dispositional Accounts: Calibrated Inference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6.8 The Commitment Gap and Its Design Implication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pPr>
      <w:r>
        <w:rPr>
          <w:szCs w:val="22"/>
          <w:lang w:val="en-US" w:eastAsia="en-US" w:bidi="ar-SA"/>
          <w:rFonts w:ascii="Times New Roman" w:hAnsi="Times New Roman" w:eastAsia="Times New Roman" w:cs="Times New Roman"/>
          <w:sz w:val="24"/>
        </w:rPr>
        <w:t>6.8A The Commitment Gap Read Through Group Dynamics: An Expert Consultation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6.9 Limitations of Stage 3</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6.10 Quantitative Comparison Against Existing Models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6.10.1 Three-Tier Nested Model Specification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6.10.2 Statistical Comparison Plan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6.10.3 Decision-Curve Analysis and Practical Significance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6.10.4 Pre-Specified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6.10.5 Provisional Estimates from the Existing Datasets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6.11 Consolidated Statistical Results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7 Discussion: Adaptive Learning as the Behavioural-Change Driver</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tab/>
        <w:t>65</w:t>
      </w:r>
    </w:p>
    <w:p w14:paraId="5BBE227D" w14:textId="77777777" w:rsidR="00FD5D21" w:rsidRDefault="00FD5D21">
      <w:pPr>
        <w:pStyle w:val="TOC2"/>
        <w:tabs>
          <w:tab w:val="right" w:leader="dot" w:pos="8495"/>
        </w:tabs>
        <w:rPr>
          <w:noProof/>
        </w:rPr>
      </w:pPr>
      <w:r>
        <w:t>7.4 Formalising the Discovery: The Adaptive-Learning Framework</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tab/>
        <w:t>66</w:t>
      </w:r>
    </w:p>
    <w:p w14:paraId="435E78BC" w14:textId="77777777" w:rsidR="00FD5D21" w:rsidRDefault="00FD5D21">
      <w:pPr>
        <w:pStyle w:val="TOC3"/>
        <w:tabs>
          <w:tab w:val="right" w:leader="dot" w:pos="8495"/>
        </w:tabs>
        <w:rPr>
          <w:noProof/>
        </w:rPr>
      </w:pPr>
      <w:r>
        <w:t>7.5.2 Trajectory Visualisation Specification</w:t>
        <w:tab/>
        <w:t>68</w:t>
      </w:r>
    </w:p>
    <w:p w14:paraId="1A4A9E23" w14:textId="77777777" w:rsidR="00FD5D21" w:rsidRDefault="00FD5D21">
      <w:pPr>
        <w:pStyle w:val="TOC3"/>
        <w:tabs>
          <w:tab w:val="right" w:leader="dot" w:pos="8495"/>
        </w:tabs>
        <w:rPr>
          <w:noProof/>
        </w:rPr>
      </w:pPr>
      <w:r>
        <w:t>7.5.3 Coaching Protocol Specification</w:t>
        <w:tab/>
        <w:t>68</w:t>
      </w:r>
    </w:p>
    <w:p>
      <w:pPr>
        <w:pStyle w:val="TOC2"/>
      </w:pPr>
      <w:r>
        <w:t>7.5A One Architecture: Phenomenon, Principles, Engine</w:t>
        <w:tab/>
        <w:t>69</w:t>
      </w:r>
    </w:p>
    <w:p w14:paraId="3BA17663" w14:textId="77777777" w:rsidR="00FD5D21" w:rsidRDefault="00FD5D21">
      <w:pPr>
        <w:pStyle w:val="TOC2"/>
        <w:tabs>
          <w:tab w:val="right" w:leader="dot" w:pos="8495"/>
        </w:tabs>
        <w:rPr>
          <w:noProof/>
        </w:rPr>
      </w:pPr>
      <w:r>
        <w:t>7.6 Applied Case Studies</w:t>
        <w:tab/>
        <w:t>69</w:t>
      </w:r>
    </w:p>
    <w:p w14:paraId="3C478D5B" w14:textId="77777777" w:rsidR="00FD5D21" w:rsidRDefault="00FD5D21">
      <w:pPr>
        <w:pStyle w:val="TOC3"/>
        <w:tabs>
          <w:tab w:val="right" w:leader="dot" w:pos="8495"/>
        </w:tabs>
        <w:rPr>
          <w:noProof/>
        </w:rPr>
      </w:pPr>
      <w:r>
        <w:t>7.6.1 Case Study A — FRA Reaction Mode (in development)</w:t>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tab/>
        <w:t>69</w:t>
      </w:r>
    </w:p>
    <w:p w14:paraId="3ABF7E46" w14:textId="77777777" w:rsidR="00FD5D21" w:rsidRDefault="00FD5D21">
      <w:pPr>
        <w:pStyle w:val="TOC3"/>
        <w:tabs>
          <w:tab w:val="right" w:leader="dot" w:pos="8495"/>
        </w:tabs>
        <w:rPr>
          <w:noProof/>
        </w:rPr>
      </w:pPr>
      <w:r>
        <w:t>7.6.3 Case Study C — Sleep Tracker reframed as an Adventure Log (illustrative)</w:t>
        <w:tab/>
        <w:t>69</w:t>
      </w:r>
    </w:p>
    <w:p w14:paraId="5F5C0F68" w14:textId="77777777" w:rsidR="00FD5D21" w:rsidRDefault="00FD5D21">
      <w:pPr>
        <w:pStyle w:val="TOC3"/>
        <w:tabs>
          <w:tab w:val="right" w:leader="dot" w:pos="8495"/>
        </w:tabs>
        <w:rPr>
          <w:noProof/>
        </w:rPr>
      </w:pPr>
      <w:r>
        <w:t>7.6.4 Cross-Case Synthesis</w:t>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tab/>
        <w:t>70</w:t>
      </w:r>
    </w:p>
    <w:p w14:paraId="355BF347" w14:textId="77777777" w:rsidR="00FD5D21" w:rsidRDefault="00FD5D21">
      <w:pPr>
        <w:pStyle w:val="TOC2"/>
        <w:tabs>
          <w:tab w:val="right" w:leader="dot" w:pos="8495"/>
        </w:tabs>
        <w:rPr>
          <w:noProof/>
        </w:rPr>
      </w:pPr>
      <w:r>
        <w:t>7.7 Boundary Conditions and Risks</w:t>
        <w:tab/>
        <w:t>71</w:t>
      </w:r>
    </w:p>
    <w:p w14:paraId="2390C070" w14:textId="77777777" w:rsidR="00FD5D21" w:rsidRDefault="00FD5D21">
      <w:pPr>
        <w:pStyle w:val="TOC2"/>
        <w:tabs>
          <w:tab w:val="right" w:leader="dot" w:pos="8495"/>
        </w:tabs>
        <w:rPr>
          <w:noProof/>
        </w:rPr>
      </w:pPr>
      <w:r>
        <w:t>7.8 Sequencing of the Three Principles</w:t>
        <w:tab/>
        <w:t>72</w:t>
      </w:r>
    </w:p>
    <w:p w14:paraId="033353C5" w14:textId="77777777" w:rsidR="00FD5D21" w:rsidRDefault="00FD5D21">
      <w:pPr>
        <w:pStyle w:val="TOC2"/>
        <w:tabs>
          <w:tab w:val="right" w:leader="dot" w:pos="8495"/>
        </w:tabs>
        <w:rPr>
          <w:noProof/>
        </w:rPr>
      </w:pPr>
      <w:r>
        <w:t>7.9 Adaptive Learning as Continuous Improvement: Closing the Loop to the EngD Topic</w:t>
        <w:tab/>
        <w:t>72</w:t>
      </w:r>
    </w:p>
    <w:p w14:paraId="63216031" w14:textId="77777777" w:rsidR="00FD5D21" w:rsidRDefault="00FD5D21">
      <w:pPr>
        <w:pStyle w:val="TOC1"/>
        <w:tabs>
          <w:tab w:val="right" w:leader="dot" w:pos="8495"/>
        </w:tabs>
        <w:rPr>
          <w:noProof/>
        </w:rPr>
      </w:pPr>
      <w:r>
        <w:t>Chapter 8 Contributions, Alternative Explanations, Limitations and Ethics</w:t>
        <w:tab/>
        <w:t>74</w:t>
      </w:r>
    </w:p>
    <w:p w14:paraId="1274176A" w14:textId="77777777" w:rsidR="00FD5D21" w:rsidRDefault="00FD5D21">
      <w:pPr>
        <w:pStyle w:val="TOC2"/>
        <w:tabs>
          <w:tab w:val="right" w:leader="dot" w:pos="8495"/>
        </w:tabs>
        <w:rPr>
          <w:noProof/>
        </w:rPr>
      </w:pPr>
      <w:r>
        <w:t>8.1 Theoretical Contributions</w:t>
        <w:tab/>
        <w:t>74</w:t>
      </w:r>
    </w:p>
    <w:p w14:paraId="0AB2FF4C" w14:textId="77777777" w:rsidR="00FD5D21" w:rsidRDefault="00FD5D21">
      <w:pPr>
        <w:pStyle w:val="TOC2"/>
        <w:tabs>
          <w:tab w:val="right" w:leader="dot" w:pos="8495"/>
        </w:tabs>
        <w:rPr>
          <w:noProof/>
        </w:rPr>
      </w:pPr>
      <w:r>
        <w:t>8.2 Methodological Contributions</w:t>
        <w:tab/>
        <w:t>74</w:t>
      </w:r>
    </w:p>
    <w:p w14:paraId="0FF8CC85" w14:textId="77777777" w:rsidR="00FD5D21" w:rsidRDefault="00FD5D21">
      <w:pPr>
        <w:pStyle w:val="TOC2"/>
        <w:tabs>
          <w:tab w:val="right" w:leader="dot" w:pos="8495"/>
        </w:tabs>
        <w:rPr>
          <w:noProof/>
        </w:rPr>
      </w:pPr>
      <w:r>
        <w:t>8.3 Empirical Contributions</w:t>
        <w:tab/>
        <w:t>74</w:t>
      </w:r>
    </w:p>
    <w:p w14:paraId="56CACFD9" w14:textId="77777777" w:rsidR="00FD5D21" w:rsidRDefault="00FD5D21">
      <w:pPr>
        <w:pStyle w:val="TOC2"/>
        <w:tabs>
          <w:tab w:val="right" w:leader="dot" w:pos="8495"/>
        </w:tabs>
        <w:rPr>
          <w:noProof/>
        </w:rPr>
      </w:pPr>
      <w:r>
        <w:t>8.4 Industrial and Practical Contributions</w:t>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tab/>
        <w:t>75</w:t>
      </w:r>
    </w:p>
    <w:p w14:paraId="0AE11FEA" w14:textId="77777777" w:rsidR="00FD5D21" w:rsidRDefault="00FD5D21">
      <w:pPr>
        <w:pStyle w:val="TOC2"/>
        <w:tabs>
          <w:tab w:val="right" w:leader="dot" w:pos="8495"/>
        </w:tabs>
        <w:rPr>
          <w:noProof/>
        </w:rPr>
      </w:pPr>
      <w:r>
        <w:t>8.5 Alternative Explanations</w:t>
        <w:tab/>
        <w:t>76</w:t>
      </w:r>
    </w:p>
    <w:p w14:paraId="7992096E" w14:textId="77777777" w:rsidR="00FD5D21" w:rsidRDefault="00FD5D21">
      <w:pPr>
        <w:pStyle w:val="TOC3"/>
        <w:tabs>
          <w:tab w:val="right" w:leader="dot" w:pos="8495"/>
        </w:tabs>
        <w:rPr>
          <w:noProof/>
        </w:rPr>
      </w:pPr>
      <w:r>
        <w:t>8.5.1 Cohort Self-Selection</w:t>
        <w:tab/>
        <w:t>76</w:t>
      </w:r>
    </w:p>
    <w:p w14:paraId="7280AE5A" w14:textId="77777777" w:rsidR="00FD5D21" w:rsidRDefault="00FD5D21">
      <w:pPr>
        <w:pStyle w:val="TOC3"/>
        <w:tabs>
          <w:tab w:val="right" w:leader="dot" w:pos="8495"/>
        </w:tabs>
        <w:rPr>
          <w:noProof/>
        </w:rPr>
      </w:pPr>
      <w:r>
        <w:t>8.5.2 Novelty Effect</w:t>
        <w:tab/>
        <w:t>76</w:t>
      </w:r>
    </w:p>
    <w:p w14:paraId="4DADBA64" w14:textId="77777777" w:rsidR="00FD5D21" w:rsidRDefault="00FD5D21">
      <w:pPr>
        <w:pStyle w:val="TOC3"/>
        <w:tabs>
          <w:tab w:val="right" w:leader="dot" w:pos="8495"/>
        </w:tabs>
        <w:rPr>
          <w:noProof/>
        </w:rPr>
      </w:pPr>
      <w:r>
        <w:t>8.5.3 Demand Characteristics and Hawthorne Effect</w:t>
        <w:tab/>
        <w:t>76</w:t>
      </w:r>
    </w:p>
    <w:p w14:paraId="1CD4665F" w14:textId="77777777" w:rsidR="00FD5D21" w:rsidRDefault="00FD5D21">
      <w:pPr>
        <w:pStyle w:val="TOC3"/>
        <w:tabs>
          <w:tab w:val="right" w:leader="dot" w:pos="8495"/>
        </w:tabs>
        <w:rPr>
          <w:noProof/>
        </w:rPr>
      </w:pPr>
      <w:r>
        <w:t>8.5.4 Regression to the Mean</w:t>
        <w:tab/>
        <w:t>76</w:t>
      </w:r>
    </w:p>
    <w:p w14:paraId="1B680E66" w14:textId="77777777" w:rsidR="00FD5D21" w:rsidRDefault="00FD5D21">
      <w:pPr>
        <w:pStyle w:val="TOC3"/>
        <w:tabs>
          <w:tab w:val="right" w:leader="dot" w:pos="8495"/>
        </w:tabs>
        <w:rPr>
          <w:noProof/>
        </w:rPr>
      </w:pPr>
      <w:r>
        <w:t>8.5.5 Physical Fatigue and Motor-Learning Limits</w:t>
        <w:tab/>
        <w:t>77</w:t>
      </w:r>
    </w:p>
    <w:p w14:paraId="01FD2844" w14:textId="77777777" w:rsidR="00FD5D21" w:rsidRDefault="00FD5D21">
      <w:pPr>
        <w:pStyle w:val="TOC3"/>
        <w:tabs>
          <w:tab w:val="right" w:leader="dot" w:pos="8495"/>
        </w:tabs>
        <w:rPr>
          <w:noProof/>
        </w:rPr>
      </w:pPr>
      <w:r>
        <w:t>8.5.6 Language and Literacy Confounds</w:t>
        <w:tab/>
        <w:t>77</w:t>
      </w:r>
    </w:p>
    <w:p w14:paraId="67FE5792" w14:textId="77777777" w:rsidR="00FD5D21" w:rsidRDefault="00FD5D21">
      <w:pPr>
        <w:pStyle w:val="TOC3"/>
        <w:tabs>
          <w:tab w:val="right" w:leader="dot" w:pos="8495"/>
        </w:tabs>
        <w:rPr>
          <w:noProof/>
        </w:rPr>
      </w:pPr>
      <w:r>
        <w:t>8.5.7 Mechanism-Aspecific Just-Better-Design Alternative</w:t>
        <w:tab/>
        <w:t>77</w:t>
      </w:r>
    </w:p>
    <w:p w14:paraId="237275F4" w14:textId="77777777" w:rsidR="00FD5D21" w:rsidRDefault="00FD5D21">
      <w:pPr>
        <w:pStyle w:val="TOC2"/>
        <w:tabs>
          <w:tab w:val="right" w:leader="dot" w:pos="8495"/>
        </w:tabs>
        <w:rPr>
          <w:noProof/>
        </w:rPr>
      </w:pPr>
      <w:r>
        <w:t>8.6 Limitations</w:t>
        <w:tab/>
        <w:t>77</w:t>
      </w:r>
    </w:p>
    <w:p w14:paraId="7923CA0F" w14:textId="77777777" w:rsidR="00FD5D21" w:rsidRDefault="00FD5D21">
      <w:pPr>
        <w:pStyle w:val="TOC2"/>
        <w:tabs>
          <w:tab w:val="right" w:leader="dot" w:pos="8495"/>
        </w:tabs>
        <w:rPr>
          <w:noProof/>
        </w:rPr>
      </w:pPr>
      <w:r>
        <w:t>8.6A A Seventh Limitation: The Language-Mode Boundary of the Layer-2 AI</w:t>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tab/>
        <w:t>78</w:t>
      </w:r>
    </w:p>
    <w:p w14:paraId="70FAC436" w14:textId="77777777" w:rsidR="00FD5D21" w:rsidRDefault="00FD5D21">
      <w:pPr>
        <w:pStyle w:val="TOC3"/>
        <w:tabs>
          <w:tab w:val="right" w:leader="dot" w:pos="8495"/>
        </w:tabs>
        <w:rPr>
          <w:noProof/>
        </w:rPr>
      </w:pPr>
      <w:r>
        <w:t>8.7.1 Vulnerability of Frail Older Adults</w:t>
        <w:tab/>
        <w:t>78</w:t>
      </w:r>
    </w:p>
    <w:p w14:paraId="5F4632A4" w14:textId="77777777" w:rsidR="00FD5D21" w:rsidRDefault="00FD5D21">
      <w:pPr>
        <w:pStyle w:val="TOC3"/>
        <w:tabs>
          <w:tab w:val="right" w:leader="dot" w:pos="8495"/>
        </w:tabs>
        <w:rPr>
          <w:noProof/>
        </w:rPr>
      </w:pPr>
      <w:r>
        <w:t>8.7.2 Decoupling and the Deception Question</w:t>
        <w:tab/>
        <w:t>79</w:t>
      </w:r>
    </w:p>
    <w:p w14:paraId="2311B47E" w14:textId="77777777" w:rsidR="00FD5D21" w:rsidRDefault="00FD5D21">
      <w:pPr>
        <w:pStyle w:val="TOC3"/>
        <w:tabs>
          <w:tab w:val="right" w:leader="dot" w:pos="8495"/>
        </w:tabs>
        <w:rPr>
          <w:noProof/>
        </w:rPr>
      </w:pPr>
      <w:r>
        <w:t>8.7.3 Autonomy, Dignity and the Right Not to Engage</w:t>
        <w:tab/>
        <w:t>79</w:t>
      </w:r>
    </w:p>
    <w:p w14:paraId="7946035C" w14:textId="77777777" w:rsidR="00FD5D21" w:rsidRDefault="00FD5D21">
      <w:pPr>
        <w:pStyle w:val="TOC3"/>
        <w:tabs>
          <w:tab w:val="right" w:leader="dot" w:pos="8495"/>
        </w:tabs>
        <w:rPr>
          <w:noProof/>
        </w:rPr>
      </w:pPr>
      <w:r>
        <w:t>8.7.4 Equity, Access and Deployment Risks</w:t>
        <w:tab/>
        <w:t>79</w:t>
      </w:r>
    </w:p>
    <w:p w14:paraId="0DFBEC77" w14:textId="77777777" w:rsidR="00FD5D21" w:rsidRDefault="00FD5D21">
      <w:pPr>
        <w:pStyle w:val="TOC3"/>
        <w:tabs>
          <w:tab w:val="right" w:leader="dot" w:pos="8495"/>
        </w:tabs>
        <w:rPr>
          <w:noProof/>
        </w:rPr>
      </w:pPr>
      <w:r>
        <w:lastRenderedPageBreak/>
        <w:t>8.7.5 Embedded Researcher Bias</w:t>
        <w:tab/>
        <w:t>79</w:t>
      </w:r>
    </w:p>
    <w:p w14:paraId="14AB5771" w14:textId="77777777" w:rsidR="00FD5D21" w:rsidRDefault="00FD5D21">
      <w:pPr>
        <w:pStyle w:val="TOC2"/>
        <w:tabs>
          <w:tab w:val="right" w:leader="dot" w:pos="8495"/>
        </w:tabs>
        <w:rPr>
          <w:noProof/>
        </w:rPr>
      </w:pPr>
      <w:r>
        <w:t>8.8 Future Research</w:t>
        <w:tab/>
        <w:t>80</w:t>
      </w:r>
    </w:p>
    <w:p w14:paraId="0C464519" w14:textId="77777777" w:rsidR="00FD5D21" w:rsidRDefault="00FD5D21">
      <w:pPr>
        <w:pStyle w:val="TOC2"/>
        <w:tabs>
          <w:tab w:val="right" w:leader="dot" w:pos="8495"/>
        </w:tabs>
        <w:rPr>
          <w:noProof/>
        </w:rPr>
      </w:pPr>
      <w:r>
        <w:t>8.9 Reproducibility and Data Availability</w:t>
        <w:tab/>
        <w:t>80</w:t>
      </w:r>
    </w:p>
    <w:p w14:paraId="7ED588A6" w14:textId="77777777" w:rsidR="00FD5D21" w:rsidRDefault="00FD5D21">
      <w:pPr>
        <w:pStyle w:val="TOC1"/>
        <w:tabs>
          <w:tab w:val="right" w:leader="dot" w:pos="8495"/>
        </w:tabs>
        <w:rPr>
          <w:noProof/>
        </w:rPr>
      </w:pPr>
      <w:r>
        <w:t>Chapter 9 Conclusion</w:t>
        <w:tab/>
        <w:t>82</w:t>
      </w:r>
    </w:p>
    <w:p w14:paraId="60E84DD3" w14:textId="77777777" w:rsidR="00FD5D21" w:rsidRDefault="00FD5D21">
      <w:pPr>
        <w:pStyle w:val="TOC2"/>
        <w:tabs>
          <w:tab w:val="right" w:leader="dot" w:pos="8495"/>
        </w:tabs>
        <w:rPr>
          <w:noProof/>
        </w:rPr>
      </w:pPr>
      <w:r>
        <w:t>9.1 What This Programme Set Out to Do</w:t>
        <w:tab/>
        <w:t>82</w:t>
      </w:r>
    </w:p>
    <w:p w14:paraId="4AFE8BB7" w14:textId="77777777" w:rsidR="00FD5D21" w:rsidRDefault="00FD5D21">
      <w:pPr>
        <w:pStyle w:val="TOC2"/>
        <w:tabs>
          <w:tab w:val="right" w:leader="dot" w:pos="8495"/>
        </w:tabs>
        <w:rPr>
          <w:noProof/>
        </w:rPr>
      </w:pPr>
      <w:r>
        <w:t>9.2 The Three-Stage Empirical Arc</w:t>
        <w:tab/>
        <w:t>82</w:t>
      </w:r>
    </w:p>
    <w:p w14:paraId="2242D32F" w14:textId="77777777" w:rsidR="00FD5D21" w:rsidRDefault="00FD5D21">
      <w:pPr>
        <w:pStyle w:val="TOC2"/>
        <w:tabs>
          <w:tab w:val="right" w:leader="dot" w:pos="8495"/>
        </w:tabs>
        <w:rPr>
          <w:noProof/>
        </w:rPr>
      </w:pPr>
      <w:r>
        <w:t>9.3 The Central Finding: Evidence Consistent with a Coupling or Framing Effect</w:t>
        <w:tab/>
        <w:t>83</w:t>
      </w:r>
    </w:p>
    <w:p w14:paraId="78AC7488" w14:textId="77777777" w:rsidR="00FD5D21" w:rsidRDefault="00FD5D21">
      <w:pPr>
        <w:pStyle w:val="TOC2"/>
        <w:tabs>
          <w:tab w:val="right" w:leader="dot" w:pos="8495"/>
        </w:tabs>
        <w:rPr>
          <w:noProof/>
        </w:rPr>
      </w:pPr>
      <w:r>
        <w:t>9.4 Decoupling Preserves the Viability of Game Theory for Elderly Engagement</w:t>
        <w:tab/>
        <w:t>84</w:t>
      </w:r>
    </w:p>
    <w:p w14:paraId="0AFF8A08" w14:textId="77777777" w:rsidR="00FD5D21" w:rsidRDefault="00FD5D21">
      <w:pPr>
        <w:pStyle w:val="TOC2"/>
        <w:tabs>
          <w:tab w:val="right" w:leader="dot" w:pos="8495"/>
        </w:tabs>
        <w:rPr>
          <w:noProof/>
        </w:rPr>
      </w:pPr>
      <w:r>
        <w:t>9.5 Adaptive Learning as the Design Counter</w:t>
        <w:tab/>
        <w:t>84</w:t>
      </w:r>
    </w:p>
    <w:p w14:paraId="085F1BB8" w14:textId="77777777" w:rsidR="00FD5D21" w:rsidRDefault="00FD5D21">
      <w:pPr>
        <w:pStyle w:val="TOC2"/>
        <w:tabs>
          <w:tab w:val="right" w:leader="dot" w:pos="8495"/>
        </w:tabs>
        <w:rPr>
          <w:noProof/>
        </w:rPr>
      </w:pPr>
      <w:r>
        <w:t>9.6 Competing Appraisal Regimes: Endowment Protection and Learning Trajectory</w:t>
        <w:tab/>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9.7 Theoretical Contributions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 Practical Contributions for Industry and Practice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9.8A A Secondary Contribution to Gamification: Agentic-AI-Driven Dynamic Game States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9.8B Future Research Proposition: From Telemetry-Conditioned to Person-Conditioned Adaptation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9.8C Bounded Implications for AI Evaluation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9.9 Limits of What Has Been Shown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9.10 Natural Extensions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9.11 Returning to the Three F4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9.12 Closing Synthesis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93</w:t>
      </w:r>
    </w:p>
    <w:p>
      <w:pPr>
        <w:pStyle w:val="TOC1"/>
        <w:tabs>
          <w:tab w:val="right" w:leader="dot" w:pos="8495"/>
        </w:tabs>
        <w:rPr>
          <w:noProof/>
        </w:rPr>
      </w:pPr>
      <w:r>
        <w:rPr>
          <w:szCs w:val="22"/>
          <w:lang w:val="en-US" w:eastAsia="en-US" w:bidi="ar-SA"/>
          <w:rFonts w:ascii="Times New Roman" w:hAnsi="Times New Roman" w:eastAsia="Times New Roman" w:cs="Times New Roman"/>
          <w:sz w:val="24"/>
        </w:rPr>
        <w:t>References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Appendices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A · Stage-1 Survey Instrument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A.1 · Survey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B · Stage-2 FIAS Coding Scheme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C · Stage-2 Qualitative Record and the F4 Interview Protocol (Designed, Not Administered)</w:t>
        <w:tab/>
        <w:t>104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C.1 · Question Set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D · Stage-3 Decoupling Questionnaire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D.1 · Post-Session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D.2 · Demographic Block (At Enrolment)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E · Five-Layer Architecture and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E.1 · Layers L0–L4 (Stage-2 Operational)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E.2 · Layers L5–L7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E.3 · AI Safety Provisions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107</w:t>
      </w:r>
    </w:p>
    <w:p>
      <w:pPr>
        <w:pStyle w:val="TOC2"/>
      </w:pPr>
      <w:r>
        <w:rPr>
          <w:szCs w:val="22"/>
          <w:lang w:val="en-US" w:eastAsia="en-US" w:bidi="ar-SA"/>
          <w:rFonts w:ascii="Times New Roman" w:hAnsi="Times New Roman" w:eastAsia="Times New Roman" w:cs="Times New Roman"/>
          <w:sz w:val="24"/>
        </w:rPr>
        <w:t>Appendix F · Glossary of Key Constructs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108</w:t>
      </w:r>
    </w:p>
    <w:p>
      <w:pPr>
        <w:pStyle w:val="TOC2"/>
        <w:spacing w:after="200" w:line="276" w:lineRule="auto"/>
        <w:rPr>
          <w:rFonts w:asciiTheme="majorHAnsi" w:eastAsiaTheme="majorEastAsia" w:hAnsiTheme="majorHAnsi" w:cstheme="majorBidi"/>
          <w:b/>
          <w:bCs/>
          <w:color w:val="000000"/>
          <w:sz w:val="32"/>
          <w:szCs w:val="32"/>
        </w:rPr>
      </w:pPr>
      <w:r>
        <w:rPr>
          <w:rFonts w:asciiTheme="majorHAnsi" w:eastAsiaTheme="majorEastAsia" w:hAnsiTheme="majorHAnsi" w:cstheme="majorBidi" w:ascii="Times New Roman" w:hAnsi="Times New Roman" w:eastAsia="Times New Roman" w:cs="Times New Roman"/>
          <w:b/>
          <w:color w:val="000000"/>
          <w:sz w:val="32"/>
          <w:szCs w:val="28"/>
        </w:rPr>
        <w:t>Appendix G · Raw Data, Photographs and Supplementary Materials</w:t>
      </w:r>
      <w:r>
        <w:rPr>
          <w:rFonts w:asciiTheme="majorHAnsi" w:eastAsiaTheme="majorEastAsia" w:hAnsiTheme="majorHAnsi" w:cstheme="majorBidi"/>
          <w:b/>
          <w:color w:val="000000"/>
          <w:sz w:val="32"/>
          <w:szCs w:val="32"/>
        </w:rPr>
        <w:tab/>
      </w:r>
      <w:r>
        <w:rPr>
          <w:rFonts w:asciiTheme="majorHAnsi" w:eastAsiaTheme="majorEastAsia" w:hAnsiTheme="majorHAnsi" w:cstheme="majorBidi" w:ascii="Times New Roman" w:hAnsi="Times New Roman" w:eastAsia="Times New Roman" w:cs="Times New Roman"/>
          <w:b/>
          <w:color w:val="000000"/>
          <w:sz w:val="32"/>
          <w:szCs w:val="28"/>
        </w:rPr>
        <w:t>110</w:t>
      </w:r>
    </w:p>
    <w:p>
      <w:pPr>
        <w:pStyle w:val="TOC2"/>
      </w:pPr>
      <w:r>
        <w:rPr>
          <w:szCs w:val="22"/>
          <w:lang w:val="en-US" w:eastAsia="en-US" w:bidi="ar-SA"/>
          <w:rFonts w:ascii="Times New Roman" w:hAnsi="Times New Roman" w:eastAsia="Times New Roman" w:cs="Times New Roman"/>
          <w:sz w:val="24"/>
        </w:rPr>
        <w:t>Appendix H · Expert Consultation Record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112</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Figures</w:t>
      </w:r>
    </w:p>
    <w:p>
      <w:pPr>
        <w:pStyle w:val="TOC1"/>
      </w:pPr>
      <w:r>
        <w:rPr>
          <w:szCs w:val="22"/>
          <w:lang w:val="en-US" w:eastAsia="en-US" w:bidi="ar-SA"/>
          <w:rFonts w:ascii="Times New Roman" w:hAnsi="Times New Roman" w:eastAsia="Times New Roman" w:cs="Times New Roman"/>
          <w:sz w:val="24"/>
        </w:rPr>
        <w:t>Figure 1.1. The intellectual structure of the thesis: from industrial problem through FIAS, the adaptive-learning framework and the dynamic game-state engine to the industrial outcome.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3.1. Three-stage action research programme. Each stage produces an empirical output and a theoretical revision; the three stages converge on the adaptive-learning framework design framework and the future-work programme.</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26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30</w:t>
      </w:r>
    </w:p>
    <w:p>
      <w:pPr>
        <w:pStyle w:val="TOC1"/>
      </w:pPr>
      <w:r>
        <w:rPr>
          <w:szCs w:val="22"/>
          <w:lang w:val="en-US" w:eastAsia="en-US" w:bidi="ar-SA"/>
          <w:rFonts w:ascii="Times New Roman" w:hAnsi="Times New Roman" w:eastAsia="Times New Roman" w:cs="Times New Roman"/>
          <w:sz w:val="24"/>
        </w:rPr>
        <w:t>Figure 4.1B. The FRA balance station as deployed in the rehabilitation room of the Guangzhou facility.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 xml:space="preserve">Figure 5.0. Integration of the FRA system into the skiing game. The four-load-cell footplate is shared; the COP stream feeds a player-facing pipeline (skiing-game engine, design parameters, adaptive difficulty engine, telemetry logger) on the left and a </w:t>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5.1. Skiing game on-screen display. The skier is controlled through Centre-of-Pressure shifts on the InBody panel; trees and rocks act as obstacles, gold coins reward forward play, and a level-and-score display is anchored to the top of the screen.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40</w:t>
      </w:r>
    </w:p>
    <w:p>
      <w:pPr>
        <w:pStyle w:val="TOC1"/>
      </w:pPr>
      <w:r>
        <w:rPr>
          <w:szCs w:val="22"/>
          <w:lang w:val="en-US" w:eastAsia="en-US" w:bidi="ar-SA"/>
          <w:rFonts w:ascii="Times New Roman" w:hAnsi="Times New Roman" w:eastAsia="Times New Roman" w:cs="Times New Roman"/>
          <w:sz w:val="24"/>
        </w:rPr>
        <w:t>Figure 5.1A. The platform-game coupling demonstrated by a control person (development office, August 2024).</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pPr>
      <w:r>
        <w:rPr>
          <w:szCs w:val="22"/>
          <w:lang w:val="en-US" w:eastAsia="en-US" w:bidi="ar-SA"/>
          <w:rFonts w:ascii="Times New Roman" w:hAnsi="Times New Roman" w:eastAsia="Times New Roman" w:cs="Times New Roman"/>
          <w:sz w:val="24"/>
        </w:rPr>
        <w:t>Figure 5.1B. The deployed game artefact across difficulty levels 1–5 (screenshots from the archived game build).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5.2. Five-layer architecture of the gamified FRA system. The dual-purpose mechanic links Layer 0 (sensor input) and Layer 4 (clinical output) through the gameplay layers without exposing clinical numbers to the user during play.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5.4. Participant-level pre/post recorded FRA index for the Stage-2 cohort (N = 30), by engagement group.</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5.5. Participant flow diagram (Stage 2, N = 30): no re-engagement was observed among the twenty-one low-engagement participants during the eight-week study window.</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5.6. Distribution of provisional FIAS composite scores across all 30 participants. The composite includes engagement-outcome attributes, so the separation of the F4 cluster is expected by construction; the figure is descriptive case identification, not evidence (§5.6).</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6.1. Stage-3 retention and observed non-return at the end of the study window by age band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6.2. Return behaviour after initial dropout, by age band: 62.5% return rate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6.3. Retention versus regular-use intention by age band: the 29.3-pp commitment gap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7.1. adaptive-learning reference stack: existing five-layer FRA architecture (L0–L4) extended with three additional layers (L5 User-Facing Trajectory; L6 Staff Coaching Protocol; L7 Adaptive-Learning Telemetry).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68</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90</w:t>
      </w:r>
    </w:p>
    <w:p>
      <w:pPr>
        <w:pStyle w:val="Normal"/>
      </w:pPr>
    </w:p>
    <w:p>
      <w:pPr>
        <w:pStyle w:val="Heading1"/>
      </w:pPr>
      <w:bookmarkStart w:id="3" w:name="_Toc232024494"/>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Tables</w:t>
      </w:r>
      <w:bookmarkEnd w:id="3"/>
    </w:p>
    <w:p>
      <w:pPr>
        <w:pStyle w:val="TOC1"/>
      </w:pPr>
      <w:r>
        <w:rPr>
          <w:szCs w:val="22"/>
          <w:lang w:val="en-US" w:eastAsia="en-US" w:bidi="ar-SA"/>
          <w:rFonts w:ascii="Times New Roman" w:hAnsi="Times New Roman" w:eastAsia="Times New Roman" w:cs="Times New Roman"/>
          <w:sz w:val="24"/>
        </w:rPr>
        <w:t>Table 2.1. From the rejected null hypothesis to candidate mechanisms: the structure of the FIAS account.</w:t>
      </w:r>
    </w:p>
    <w:p>
      <w:pPr>
        <w:pStyle w:val="TOC1"/>
      </w:pPr>
      <w:r>
        <w:rPr>
          <w:szCs w:val="22"/>
          <w:lang w:val="en-US" w:eastAsia="en-US" w:bidi="ar-SA"/>
          <w:rFonts w:ascii="Times New Roman" w:hAnsi="Times New Roman" w:eastAsia="Times New Roman" w:cs="Times New Roman"/>
          <w:sz w:val="24"/>
        </w:rPr>
        <w:t>Table 3.1. The hypothesis architecture of the programme: where each claim originates, is stated, is tested, and stands.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4.1. Stage-1 survey results (N = 200 residents surveyed, of a resident population of 280).</w:t>
        <w:tab/>
        <w:t>31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4.2. TAM limitations for elderly FRA users.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4.3. Octalysis drives contextualised against STAM characteristics.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5.0. Skiing-game parameters by which the FRA COP signal is integrated into gameplay (extract; full specification in Game_States_and_Parameters.xlsx).</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38</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5.1. Skiing game data structure summary.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5.2. Stage-2 engagement pattern (N = 30).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48</w:t>
      </w:r>
    </w:p>
    <w:p>
      <w:pPr>
        <w:pStyle w:val="TOC1"/>
      </w:pPr>
      <w:r>
        <w:rPr>
          <w:szCs w:val="22"/>
          <w:lang w:val="en-US" w:eastAsia="en-US" w:bidi="ar-SA"/>
          <w:rFonts w:ascii="Times New Roman" w:hAnsi="Times New Roman" w:eastAsia="Times New Roman" w:cs="Times New Roman"/>
          <w:sz w:val="24"/>
        </w:rPr>
        <w:t>Table 5.3. QFD deployment matrix: user needs mapped onto game technical characteristics.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6.1. Stage-3 overall engagement and dropout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6.2. Stage-3 age-stratified engagement.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6.3. Stage-3 coordination endorsement and regular-use intention by age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6.4. Three-tier nested model specification for the FIAS-vs-TAM/STAM quantitative comparison.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6.5. Consolidated statistical results for the key contrasts of Stages 2 and 3.</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7.1. Adaptive-learning principles, function and empirical anchor.</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8.0. The four contribution registers and where each is stated.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72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7.2. Adaptive-learning reference stack (L0–L7) mapped to adaptive-learning principles.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89</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Abbreviations</w:t>
      </w:r>
    </w:p>
    <w:tbl>
      <w:tblPr>
        <w:tblStyle w:val="TableGrid"/>
        <w:tblW w:w="0" w:type="auto"/>
        <w:jc w:val="center"/>
        <w:tblLook w:val="04A0" w:firstRow="1" w:lastRow="0" w:firstColumn="1" w:lastColumn="0" w:noHBand="0" w:noVBand="1"/>
      </w:tblPr>
      <w:tblGrid>
        <w:gridCol w:w="4247"/>
        <w:gridCol w:w="4248"/>
      </w:tblGrid>
      <w:tr>
        <w:trPr>
          <w:jc w:val="center"/>
        </w:trPr>
        <w:tc>
          <w:tcPr>
            <w:tcW w:w="4247" w:type="dxa"/>
          </w:tcPr>
          <w:p>
            <w:pPr>
              <w:pStyle w:val="Normal"/>
            </w:pPr>
            <w:r>
              <w:rPr>
                <w:b/>
                <w:sz w:val="20"/>
                <w:szCs w:val="22"/>
                <w:lang w:val="en-US" w:eastAsia="en-US" w:bidi="ar-SA"/>
                <w:rFonts w:ascii="Times New Roman" w:hAnsi="Times New Roman" w:eastAsia="Times New Roman" w:cs="Times New Roman"/>
              </w:rPr>
              <w:t>AI</w:t>
            </w:r>
          </w:p>
        </w:tc>
        <w:tc>
          <w:tcPr>
            <w:tcW w:w="4248" w:type="dxa"/>
          </w:tcPr>
          <w:p>
            <w:pPr>
              <w:pStyle w:val="Normal"/>
            </w:pPr>
            <w:r>
              <w:rPr>
                <w:b/>
                <w:sz w:val="20"/>
                <w:szCs w:val="22"/>
                <w:lang w:val="en-US" w:eastAsia="en-US" w:bidi="ar-SA"/>
                <w:rFonts w:ascii="Times New Roman" w:hAnsi="Times New Roman" w:eastAsia="Times New Roman" w:cs="Times New Roman"/>
              </w:rPr>
              <w:t>Artificial Intelligence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AIC / BIC</w:t>
            </w:r>
          </w:p>
        </w:tc>
        <w:tc>
          <w:tcPr>
            <w:tcW w:w="4248"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AUC</w:t>
            </w:r>
          </w:p>
        </w:tc>
        <w:tc>
          <w:tcPr>
            <w:tcW w:w="4248"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CI</w:t>
            </w:r>
          </w:p>
        </w:tc>
        <w:tc>
          <w:tcPr>
            <w:tcW w:w="4248"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COP</w:t>
            </w:r>
          </w:p>
        </w:tc>
        <w:tc>
          <w:tcPr>
            <w:tcW w:w="4248"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FES-I</w:t>
            </w:r>
          </w:p>
        </w:tc>
        <w:tc>
          <w:tcPr>
            <w:tcW w:w="4248"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FIAS</w:t>
            </w:r>
          </w:p>
        </w:tc>
        <w:tc>
          <w:tcPr>
            <w:tcW w:w="4248"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FIDS</w:t>
            </w:r>
          </w:p>
        </w:tc>
        <w:tc>
          <w:tcPr>
            <w:tcW w:w="4248"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FRA</w:t>
            </w:r>
          </w:p>
        </w:tc>
        <w:tc>
          <w:tcPr>
            <w:tcW w:w="4248"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PEOU</w:t>
            </w:r>
          </w:p>
        </w:tc>
        <w:tc>
          <w:tcPr>
            <w:tcW w:w="4248"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PIPL</w:t>
            </w:r>
          </w:p>
        </w:tc>
        <w:tc>
          <w:tcPr>
            <w:tcW w:w="4248"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trPr>
        <w:tc>
          <w:tcPr>
            <w:tcW w:w="4247" w:type="dxa"/>
          </w:tcPr>
          <w:p>
            <w:pPr>
              <w:pStyle w:val="Normal"/>
            </w:pPr>
            <w:r>
              <w:rPr>
                <w:szCs w:val="22"/>
                <w:lang w:val="en-US" w:eastAsia="en-US" w:bidi="ar-SA"/>
                <w:rFonts w:ascii="Times New Roman" w:hAnsi="Times New Roman" w:eastAsia="Times New Roman" w:cs="Times New Roman"/>
                <w:sz w:val="20"/>
              </w:rPr>
              <w:t>PU</w:t>
            </w:r>
          </w:p>
        </w:tc>
        <w:tc>
          <w:tcPr>
            <w:tcW w:w="4248"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STAM</w:t>
            </w:r>
          </w:p>
        </w:tc>
        <w:tc>
          <w:tcPr>
            <w:tcW w:w="4248"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TAM</w:t>
            </w:r>
          </w:p>
        </w:tc>
        <w:tc>
          <w:tcPr>
            <w:tcW w:w="4248"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UTAUT</w:t>
            </w:r>
          </w:p>
        </w:tc>
        <w:tc>
          <w:tcPr>
            <w:tcW w:w="4248"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WTA</w:t>
            </w:r>
          </w:p>
        </w:tc>
        <w:tc>
          <w:tcPr>
            <w:tcW w:w="4248"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WTP</w:t>
            </w:r>
          </w:p>
        </w:tc>
        <w:tc>
          <w:tcPr>
            <w:tcW w:w="4248" w:type="dxa"/>
          </w:tcPr>
          <w:p>
            <w:pPr>
              <w:pStyle w:val="Normal"/>
            </w:pPr>
            <w:r>
              <w:rPr>
                <w:sz w:val="20"/>
                <w:szCs w:val="22"/>
                <w:lang w:val="en-US" w:eastAsia="en-US" w:bidi="ar-SA"/>
                <w:rFonts w:ascii="Times New Roman" w:hAnsi="Times New Roman" w:eastAsia="Times New Roman" w:cs="Times New Roman"/>
              </w:rPr>
              <w:t>Willingness To Pay</w:t>
            </w:r>
          </w:p>
        </w:tc>
      </w:tr>
    </w:tbl>
    <w:p>
      <w:pPr>
        <w:pStyle w:val="Normal"/>
        <w:spacing w:after="40"/>
      </w:pPr>
    </w:p>
    <w:p>
      <w:pPr>
        <w:pStyle w:val="Normal"/>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Chapter 1 Introduction</w:t>
      </w:r>
      <w:bookmarkEnd w:id="4"/>
    </w:p>
    <w:p>
      <w:pPr>
        <w:pStyle w:val="Heading2"/>
      </w:pPr>
      <w:bookmarkStart w:id="5" w:name="_Toc23202449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pStyle w:val="Normal"/>
        <w:jc w:val="both"/>
      </w:pPr>
      <w:r>
        <w:rPr>
          <w:szCs w:val="22"/>
          <w:lang w:val="en-US" w:eastAsia="en-US" w:bidi="ar-SA"/>
          <w:rFonts w:ascii="Times New Roman" w:hAnsi="Times New Roman" w:eastAsia="Times New Roman" w:cs="Times New Roman"/>
          <w:sz w:val="24"/>
        </w:rP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pPr>
        <w:pStyle w:val="Heading2"/>
      </w:pPr>
      <w:bookmarkStart w:id="6" w:name="_Toc23202449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1.2 Why the Empty Station Is an Industry Problem, Not a Local Problem</w:t>
      </w:r>
      <w:bookmarkEnd w:id="6"/>
    </w:p>
    <w:p>
      <w:pPr>
        <w:pStyle w:val="Normal"/>
        <w:jc w:val="both"/>
      </w:pPr>
      <w:r>
        <w:rPr>
          <w:szCs w:val="22"/>
          <w:lang w:val="en-US" w:eastAsia="en-US" w:bidi="ar-SA"/>
          <w:rFonts w:ascii="Times New Roman" w:hAnsi="Times New Roman" w:eastAsia="Times New Roman" w:cs="Times New Roman"/>
          <w:sz w:val="24"/>
        </w:rPr>
        <w:t xml:space="preserve">The Guangzhou facility is not anomalous. Across the elderly residential care sector in Hong Kong, Mainland China and several comparable economies, sensor-based health </w:t>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pPr>
        <w:pStyle w:val="Normal"/>
        <w:jc w:val="both"/>
      </w:pPr>
      <w:r>
        <w:rPr>
          <w:szCs w:val="22"/>
          <w:lang w:val="en-US" w:eastAsia="en-US" w:bidi="ar-SA"/>
          <w:rFonts w:ascii="Times New Roman" w:hAnsi="Times New Roman" w:eastAsia="Times New Roman" w:cs="Times New Roman"/>
          <w:sz w:val="24"/>
        </w:rP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pPr>
        <w:pStyle w:val="Heading2"/>
      </w:pPr>
      <w:bookmarkStart w:id="7" w:name="_Toc23202449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t>of acute mental-health conditions. Whatever drives their abandonment is operating within a population that the standard non-use framings do not reach.</w:t>
      </w:r>
    </w:p>
    <w:p>
      <w:pPr>
        <w:pStyle w:val="Heading2"/>
      </w:pPr>
      <w:bookmarkStart w:id="8" w:name="_Toc23202450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pPr>
        <w:pStyle w:val="Heading2"/>
      </w:pPr>
      <w:bookmarkStart w:id="9" w:name="_Toc23202450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t>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 This thesis proposes FIAS as a provisional behavioural construct developed from the observed interaction patterns in this research programme; its definition, evidential status and limits are developed in Chapters 4 and 5.</w:t>
      </w:r>
    </w:p>
    <w:p>
      <w:pPr>
        <w:pStyle w:val="Heading2"/>
      </w:pPr>
      <w:bookmarkStart w:id="10" w:name="_Toc23202450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denominator for all Stage-1 results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Working tables from the survey period also suggested favourable physical-access and perceived-benefit estimates; because those figures cannot be traced to items in the archived six-item instrument (Appendix A), they are not reported as survey results in this thesis. The survey therefore provides a strong descriptive problem signature, but its wording does not allow every negative first experience to be treated unambiguously as task failure.</w:t>
      </w:r>
    </w:p>
    <w:p>
      <w:pPr>
        <w:pStyle w:val="Normal"/>
        <w:jc w:val="both"/>
      </w:pPr>
      <w:r>
        <w:rPr>
          <w:szCs w:val="22"/>
          <w:lang w:val="en-US" w:eastAsia="en-US" w:bidi="ar-SA"/>
          <w:rFonts w:ascii="Times New Roman" w:hAnsi="Times New Roman" w:eastAsia="Times New Roman" w:cs="Times New Roman"/>
          <w:sz w:val="24"/>
        </w:rPr>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the author's Hong Kong-based networks — work contacts, a charity community network, university support channels and the author's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Stage 3 thereby changed a package of participant-facing clinical cues: no clinical pre-scan was conducted, clinical and fall-risk terminology was removed, participant-facing clinical outputs were withheld, recruitment described a coordination challenge, and the interface was re-skinned. Observed non-return was 6.7% overall and 14.6%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a pattern consistent with the theory and the population being sound and with the coupling as the locus of the failure. They do not rule out cohort self-selection, setting, recruitment, health-status, staff-interaction or observation-window differences, so the comparison is described as a between-cohort quasi-experimental decoupling study rather than a single-variable experiment. The residual 29.3-percentage-point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the Stage-3 evidence indicates,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These outputs form one architecture: FIAS explains why users disengage after failure, the adaptive-learning framework states how systems should be redesigned to prevent that disengagement, and the dynamic game-state engine of §5.3.10 operationalises the framework in real time (§7.5A). Methodologically, the thesis contributes the null-hypothesis-plus-attribution architecture (Table 3.1), the dual-purpose mechanic, the QFD evidence-to-design pipeline and the commitment-gap measurement; the AI-assisted development workflow is documented as the enabling method behind the artefact (§5.3.9), not claimed as a contribution — throughout the thesis, the AI tooling is an enabling technology, and the contribution is the behavioural design framework. Empirically, it reports the prospective rejection of H0 in Stage 2 and the theory-consistent acceptance of the decoupled game in Stage 3, with within-cohort confirmation explicitly retained as future work. Practically, it specifies the adaptive-learning principle and the adaptive-learning framework for prospective evaluation on existing infrastructure. Figure 1.1 places the contributions in a single chain from industrial problem to industrial outcome.</w:t>
      </w:r>
    </w:p>
    <w:p>
      <w:r>
        <w:drawing>
          <wp:inline>
            <wp:extent cx="5120640" cy="4122367"/>
            <wp:docPr id="28" name="Picture 28"/>
            <wp:cNvGraphicFramePr>
              <a:graphicFrameLocks noChangeAspect="1"/>
            </wp:cNvGraphicFramePr>
            <a:graphic>
              <a:graphicData uri="http://schemas.openxmlformats.org/drawingml/2006/picture">
                <pic:pic>
                  <pic:nvPicPr>
                    <pic:cNvPr id="0" name="fig_1_1.png"/>
                    <pic:cNvPicPr/>
                  </pic:nvPicPr>
                  <pic:blipFill>
                    <a:blip r:embed="rId37"/>
                    <a:stretch>
                      <a:fillRect/>
                    </a:stretch>
                  </pic:blipFill>
                  <pic:spPr>
                    <a:xfrm>
                      <a:off x="0" y="0"/>
                      <a:ext cx="5120640" cy="4122367"/>
                    </a:xfrm>
                    <a:prstGeom prst="rect"/>
                  </pic:spPr>
                </pic:pic>
              </a:graphicData>
            </a:graphic>
          </wp:inline>
        </w:drawing>
      </w:r>
    </w:p>
    <w:p>
      <w:pPr>
        <w:pStyle w:val="FigureCaption"/>
      </w:pPr>
      <w:r>
        <w:t>Figure 1.1. The intellectual structure of the thesis: an industrial problem produces an observed behavioural phenomenon (FIAS); the phenomenon motivates engineering design principles (the adaptive-learning framework); the principles are operationalised by the dynamic game-state engine; and the intended industrial outcome is sustained engagement with clinical validity preserved. The three middle layers are stated as one architecture in §7.5A.</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29.3-percentage-point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whose results are consistent with gamification theory, support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pPr>
        <w:pStyle w:val="Normal"/>
        <w:jc w:val="both"/>
      </w:pPr>
      <w:r>
        <w:rPr>
          <w:szCs w:val="22"/>
          <w:lang w:val="en-US" w:eastAsia="en-US" w:bidi="ar-SA"/>
          <w:rFonts w:ascii="Times New Roman" w:hAnsi="Times New Roman" w:eastAsia="Times New Roman" w:cs="Times New Roman"/>
          <w:sz w:val="24"/>
        </w:rP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pPr>
        <w:pStyle w:val="Normal"/>
        <w:jc w:val="both"/>
      </w:pPr>
      <w:r>
        <w:rPr>
          <w:szCs w:val="22"/>
          <w:lang w:val="en-US" w:eastAsia="en-US" w:bidi="ar-SA"/>
          <w:rFonts w:ascii="Times New Roman" w:hAnsi="Times New Roman" w:eastAsia="Times New Roman" w:cs="Times New Roman"/>
          <w:sz w:val="24"/>
        </w:rP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indicates that the TAM-STAM-Octalysis stack is empirically valid for elderly gamification — provided the technology is not attached to an artefact-based health system.</w:t>
      </w:r>
    </w:p>
    <w:p>
      <w:pPr>
        <w:pStyle w:val="Heading3"/>
      </w:pPr>
      <w:bookmarkStart w:id="27" w:name="_Toc23202452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t>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registered as a question for the confirmatory study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2.3.5 The Null Hypothesis Built From Stages One and Two</w:t>
      </w:r>
    </w:p>
    <w:p>
      <w:pPr>
        <w:pStyle w:val="Normal"/>
      </w:pPr>
      <w:r>
        <w:rPr>
          <w:szCs w:val="22"/>
          <w:lang w:val="en-US" w:eastAsia="en-US" w:bidi="ar-SA"/>
          <w:rFonts w:ascii="Times New Roman" w:hAnsi="Times New Roman" w:eastAsia="Times New Roman" w:cs="Times New Roman"/>
          <w:sz w:val="24"/>
        </w:rP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pPr>
        <w:pStyle w:val="Normal"/>
      </w:pPr>
      <w:r>
        <w:rPr>
          <w:b/>
          <w:szCs w:val="22"/>
          <w:lang w:val="en-US" w:eastAsia="en-US" w:bidi="ar-SA"/>
          <w:rFonts w:ascii="Times New Roman" w:hAnsi="Times New Roman" w:eastAsia="Times New Roman" w:cs="Times New Roman"/>
          <w:sz w:val="24"/>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pPr>
        <w:pStyle w:val="Normal"/>
      </w:pPr>
      <w:r>
        <w:rPr>
          <w:szCs w:val="22"/>
          <w:lang w:val="en-US" w:eastAsia="en-US" w:bidi="ar-SA"/>
          <w:rFonts w:ascii="Times New Roman" w:hAnsi="Times New Roman" w:eastAsia="Times New Roman" w:cs="Times New Roman"/>
          <w:sz w:val="24"/>
        </w:rP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pPr>
        <w:pStyle w:val="Normal"/>
      </w:pPr>
      <w:r>
        <w:rPr>
          <w:szCs w:val="22"/>
          <w:lang w:val="en-US" w:eastAsia="en-US" w:bidi="ar-SA"/>
          <w:rFonts w:ascii="Times New Roman" w:hAnsi="Times New Roman" w:eastAsia="Times New Roman" w:cs="Times New Roman"/>
          <w:sz w:val="24"/>
        </w:rP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pPr>
        <w:pStyle w:val="Heading2"/>
      </w:pPr>
      <w:bookmarkStart w:id="28" w:name="_Toc23202452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2.4 Stage Three: Self-Efficacy as the First Diagnostic Layer</w:t>
      </w:r>
      <w:bookmarkEnd w:id="28"/>
    </w:p>
    <w:p>
      <w:pPr>
        <w:pStyle w:val="Heading3"/>
      </w:pPr>
      <w:bookmarkStart w:id="29" w:name="_Toc232024523"/>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pPr>
        <w:pStyle w:val="Heading3"/>
      </w:pPr>
      <w:bookmarkStart w:id="30" w:name="_Toc232024524"/>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pPr>
        <w:pStyle w:val="Heading3"/>
      </w:pPr>
      <w:bookmarkStart w:id="31" w:name="_Toc23202452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2.4.3 The Fear-and-Failure Cycle</w:t>
      </w:r>
      <w:bookmarkEnd w:id="31"/>
    </w:p>
    <w:p>
      <w:pPr>
        <w:pStyle w:val="Normal"/>
        <w:jc w:val="both"/>
      </w:pPr>
      <w:r>
        <w:rPr>
          <w:szCs w:val="22"/>
          <w:lang w:val="en-US" w:eastAsia="en-US" w:bidi="ar-SA"/>
          <w:rFonts w:ascii="Times New Roman" w:hAnsi="Times New Roman" w:eastAsia="Times New Roman" w:cs="Times New Roman"/>
          <w:sz w:val="24"/>
        </w:rPr>
        <w:t>Tsai et al. (2020) studied older adults' acceptance of a wearable health device through an extended technology-acceptance model and documented the roles of technology anxiety and resistance to change in suppressing engagement. Anxiety about using the technology reduced intended and actual use, and early difficulty further lowered the confidence with which users approached subsequent attempts. The Tsai et al. findings are the closest published precedent for the withdrawal dynamics the present thesis observes in the F4 cluster of Stage 2, although their study is cross-sectional and does not track whether withdrawal becomes permanent.</w:t>
      </w:r>
    </w:p>
    <w:p>
      <w:pPr>
        <w:pStyle w:val="Heading3"/>
      </w:pPr>
      <w:bookmarkStart w:id="32" w:name="_Toc23202452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2.5 Stage Four: Behavioural Science as a Candidate FIAS Account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2.5.1 Why Behavioural Science Is Required</w:t>
      </w:r>
    </w:p>
    <w:p>
      <w:pPr>
        <w:pStyle w:val="Normal"/>
        <w:jc w:val="both"/>
      </w:pPr>
      <w:r>
        <w:rPr>
          <w:szCs w:val="22"/>
          <w:lang w:val="en-US" w:eastAsia="en-US" w:bidi="ar-SA"/>
          <w:rFonts w:ascii="Times New Roman" w:hAnsi="Times New Roman" w:eastAsia="Times New Roman" w:cs="Times New Roman"/>
          <w:sz w:val="24"/>
        </w:rP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FigureCaption"/>
      </w:pPr>
      <w:r>
        <w:rPr>
          <w:sz w:val="22"/>
          <w:szCs w:val="22"/>
          <w:lang w:val="en-US" w:eastAsia="en-US" w:bidi="ar-SA"/>
          <w:rFonts w:ascii="Times New Roman" w:hAnsi="Times New Roman" w:eastAsia="Times New Roman" w:cs="Times New Roman"/>
          <w:i/>
        </w:rP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pStyle w:val="Normal"/>
            </w:pPr>
            <w:r>
              <w:rPr>
                <w:b/>
                <w:sz w:val="20"/>
                <w:szCs w:val="22"/>
                <w:lang w:val="en-US" w:eastAsia="en-US" w:bidi="ar-SA"/>
                <w:rFonts w:ascii="Times New Roman" w:hAnsi="Times New Roman" w:eastAsia="Times New Roman" w:cs="Times New Roman"/>
              </w:rPr>
              <w:t>Observation H0 cannot explain</w:t>
            </w:r>
          </w:p>
        </w:tc>
        <w:tc>
          <w:tcPr>
            <w:tcW w:type="dxa" w:w="2126"/>
          </w:tcPr>
          <w:p>
            <w:pPr>
              <w:pStyle w:val="Normal"/>
            </w:pPr>
            <w:r>
              <w:rPr>
                <w:b/>
                <w:sz w:val="20"/>
                <w:szCs w:val="22"/>
                <w:lang w:val="en-US" w:eastAsia="en-US" w:bidi="ar-SA"/>
                <w:rFonts w:ascii="Times New Roman" w:hAnsi="Times New Roman" w:eastAsia="Times New Roman" w:cs="Times New Roman"/>
              </w:rPr>
              <w:t>Behavioural theory</w:t>
            </w:r>
          </w:p>
        </w:tc>
        <w:tc>
          <w:tcPr>
            <w:tcW w:type="dxa" w:w="2126"/>
          </w:tcPr>
          <w:p>
            <w:pPr>
              <w:pStyle w:val="Normal"/>
            </w:pPr>
            <w:r>
              <w:rPr>
                <w:b/>
                <w:sz w:val="20"/>
                <w:szCs w:val="22"/>
                <w:lang w:val="en-US" w:eastAsia="en-US" w:bidi="ar-SA"/>
                <w:rFonts w:ascii="Times New Roman" w:hAnsi="Times New Roman" w:eastAsia="Times New Roman" w:cs="Times New Roman"/>
              </w:rPr>
              <w:t>Construct contributed to FIAS</w:t>
            </w:r>
          </w:p>
        </w:tc>
        <w:tc>
          <w:tcPr>
            <w:tcW w:type="dxa" w:w="2126"/>
          </w:tcPr>
          <w:p>
            <w:pPr>
              <w:pStyle w:val="Normal"/>
            </w:pPr>
            <w:r>
              <w:rPr>
                <w:b/>
                <w:sz w:val="20"/>
                <w:szCs w:val="22"/>
                <w:lang w:val="en-US" w:eastAsia="en-US" w:bidi="ar-SA"/>
                <w:rFonts w:ascii="Times New Roman" w:hAnsi="Times New Roman" w:eastAsia="Times New Roman" w:cs="Times New Roman"/>
              </w:rPr>
              <w:t>Prediction generated</w:t>
            </w:r>
          </w:p>
        </w:tc>
      </w:tr>
      <w:tr>
        <w:tc>
          <w:tcPr>
            <w:tcW w:type="dxa" w:w="2126"/>
          </w:tcPr>
          <w:p>
            <w:pPr>
              <w:pStyle w:val="Normal"/>
            </w:pPr>
            <w:r>
              <w:rPr>
                <w:sz w:val="20"/>
                <w:szCs w:val="22"/>
                <w:lang w:val="en-US" w:eastAsia="en-US" w:bidi="ar-SA"/>
                <w:rFonts w:ascii="Times New Roman" w:hAnsi="Times New Roman" w:eastAsia="Times New Roman" w:cs="Times New Roman"/>
              </w:rPr>
              <w:t>A single adverse first experience outweighs the design's motivational pull</w:t>
            </w:r>
          </w:p>
        </w:tc>
        <w:tc>
          <w:tcPr>
            <w:tcW w:type="dxa" w:w="2126"/>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26"/>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126"/>
          </w:tcPr>
          <w:p>
            <w:pPr>
              <w:pStyle w:val="Normal"/>
            </w:pPr>
            <w:r>
              <w:rPr>
                <w:sz w:val="20"/>
                <w:szCs w:val="22"/>
                <w:lang w:val="en-US" w:eastAsia="en-US" w:bidi="ar-SA"/>
                <w:rFonts w:ascii="Times New Roman" w:hAnsi="Times New Roman" w:eastAsia="Times New Roman" w:cs="Times New Roman"/>
              </w:rPr>
              <w:t>First failure is associated with early disengagement (H1, Chapter 5)</w:t>
            </w:r>
          </w:p>
        </w:tc>
      </w:tr>
      <w:tr>
        <w:tc>
          <w:tcPr>
            <w:tcW w:type="dxa" w:w="2126"/>
          </w:tcPr>
          <w:p>
            <w:pPr>
              <w:pStyle w:val="Normal"/>
            </w:pPr>
            <w:r>
              <w:rPr>
                <w:sz w:val="20"/>
                <w:szCs w:val="22"/>
                <w:lang w:val="en-US" w:eastAsia="en-US" w:bidi="ar-SA"/>
                <w:rFonts w:ascii="Times New Roman" w:hAnsi="Times New Roman" w:eastAsia="Times New Roman" w:cs="Times New Roman"/>
              </w:rPr>
              <w:t>Exit persists even when the recorded score improves</w:t>
            </w:r>
          </w:p>
        </w:tc>
        <w:tc>
          <w:tcPr>
            <w:tcW w:type="dxa" w:w="2126"/>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26"/>
          </w:tcPr>
          <w:p>
            <w:pPr>
              <w:pStyle w:val="Normal"/>
            </w:pPr>
            <w:r>
              <w:rPr>
                <w:sz w:val="20"/>
                <w:szCs w:val="22"/>
                <w:lang w:val="en-US" w:eastAsia="en-US" w:bidi="ar-SA"/>
                <w:rFonts w:ascii="Times New Roman" w:hAnsi="Times New Roman" w:eastAsia="Times New Roman" w:cs="Times New Roman"/>
              </w:rPr>
              <w:t>Identity-relevant endowment: exit protects a valued self-description from revaluation</w:t>
            </w:r>
          </w:p>
        </w:tc>
        <w:tc>
          <w:tcPr>
            <w:tcW w:type="dxa" w:w="2126"/>
          </w:tcPr>
          <w:p>
            <w:pPr>
              <w:pStyle w:val="Normal"/>
            </w:pPr>
            <w:r>
              <w:rPr>
                <w:sz w:val="20"/>
                <w:szCs w:val="22"/>
                <w:lang w:val="en-US" w:eastAsia="en-US" w:bidi="ar-SA"/>
                <w:rFonts w:ascii="Times New Roman" w:hAnsi="Times New Roman" w:eastAsia="Times New Roman" w:cs="Times New Roman"/>
              </w:rPr>
              <w:t>Objective improvement does not by itself produce return (H4 — the improvement/non-return paradox)</w:t>
            </w:r>
          </w:p>
        </w:tc>
      </w:tr>
      <w:tr>
        <w:tc>
          <w:tcPr>
            <w:tcW w:type="dxa" w:w="2126"/>
          </w:tcPr>
          <w:p>
            <w:pPr>
              <w:pStyle w:val="Normal"/>
            </w:pPr>
            <w:r>
              <w:rPr>
                <w:sz w:val="20"/>
                <w:szCs w:val="22"/>
                <w:lang w:val="en-US" w:eastAsia="en-US" w:bidi="ar-SA"/>
                <w:rFonts w:ascii="Times New Roman" w:hAnsi="Times New Roman" w:eastAsia="Times New Roman" w:cs="Times New Roman"/>
              </w:rPr>
              <w:t>The same event means different things under different frames</w:t>
            </w:r>
          </w:p>
        </w:tc>
        <w:tc>
          <w:tcPr>
            <w:tcW w:type="dxa" w:w="2126"/>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26"/>
          </w:tcPr>
          <w:p>
            <w:pPr>
              <w:pStyle w:val="Normal"/>
            </w:pPr>
            <w:r>
              <w:rPr>
                <w:sz w:val="20"/>
                <w:szCs w:val="22"/>
                <w:lang w:val="en-US" w:eastAsia="en-US" w:bidi="ar-SA"/>
                <w:rFonts w:ascii="Times New Roman" w:hAnsi="Times New Roman" w:eastAsia="Times New Roman" w:cs="Times New Roman"/>
              </w:rPr>
              <w:t>Clinical framing sorts the session into a high-stakes health account</w:t>
            </w:r>
          </w:p>
        </w:tc>
        <w:tc>
          <w:tcPr>
            <w:tcW w:type="dxa" w:w="2126"/>
          </w:tcPr>
          <w:p>
            <w:pPr>
              <w:pStyle w:val="Normal"/>
            </w:pPr>
            <w:r>
              <w:rPr>
                <w:sz w:val="20"/>
                <w:szCs w:val="22"/>
                <w:lang w:val="en-US" w:eastAsia="en-US" w:bidi="ar-SA"/>
                <w:rFonts w:ascii="Times New Roman" w:hAnsi="Times New Roman" w:eastAsia="Times New Roman" w:cs="Times New Roman"/>
              </w:rPr>
              <w:t>Removing participant-facing clinical framing increases post-failure return (H5, Stage 3)</w:t>
            </w:r>
          </w:p>
        </w:tc>
      </w:tr>
      <w:tr>
        <w:tc>
          <w:tcPr>
            <w:tcW w:type="dxa" w:w="2126"/>
          </w:tcPr>
          <w:p>
            <w:pPr>
              <w:pStyle w:val="Normal"/>
            </w:pPr>
            <w:r>
              <w:rPr>
                <w:sz w:val="20"/>
                <w:szCs w:val="22"/>
                <w:lang w:val="en-US" w:eastAsia="en-US" w:bidi="ar-SA"/>
                <w:rFonts w:ascii="Times New Roman" w:hAnsi="Times New Roman" w:eastAsia="Times New Roman" w:cs="Times New Roman"/>
              </w:rPr>
              <w:t>Clinical and age-related cues amplify the meaning of failure</w:t>
            </w:r>
          </w:p>
        </w:tc>
        <w:tc>
          <w:tcPr>
            <w:tcW w:type="dxa" w:w="2126"/>
          </w:tcPr>
          <w:p>
            <w:pPr>
              <w:pStyle w:val="Normal"/>
            </w:pPr>
            <w:r>
              <w:rPr>
                <w:sz w:val="20"/>
                <w:szCs w:val="22"/>
                <w:lang w:val="en-US" w:eastAsia="en-US" w:bidi="ar-SA"/>
                <w:rFonts w:ascii="Times New Roman" w:hAnsi="Times New Roman" w:eastAsia="Times New Roman" w:cs="Times New Roman"/>
              </w:rPr>
              <w:t>Stereotype threat (Steele &amp; Aronson, 1995; Levy et al., 2002)</w:t>
            </w:r>
          </w:p>
        </w:tc>
        <w:tc>
          <w:tcPr>
            <w:tcW w:type="dxa" w:w="2126"/>
          </w:tcPr>
          <w:p>
            <w:pPr>
              <w:pStyle w:val="Normal"/>
            </w:pPr>
            <w:r>
              <w:rPr>
                <w:sz w:val="20"/>
                <w:szCs w:val="22"/>
                <w:lang w:val="en-US" w:eastAsia="en-US" w:bidi="ar-SA"/>
                <w:rFonts w:ascii="Times New Roman" w:hAnsi="Times New Roman" w:eastAsia="Times New Roman" w:cs="Times New Roman"/>
              </w:rPr>
              <w:t>Salience of age-related decline as the trigger of identity-relevant appraisal</w:t>
            </w:r>
          </w:p>
        </w:tc>
        <w:tc>
          <w:tcPr>
            <w:tcW w:type="dxa" w:w="2126"/>
          </w:tcPr>
          <w:p>
            <w:pPr>
              <w:pStyle w:val="Normal"/>
            </w:pPr>
            <w:r>
              <w:rPr>
                <w:sz w:val="20"/>
                <w:szCs w:val="22"/>
                <w:lang w:val="en-US" w:eastAsia="en-US" w:bidi="ar-SA"/>
                <w:rFonts w:ascii="Times New Roman" w:hAnsi="Times New Roman" w:eastAsia="Times New Roman" w:cs="Times New Roman"/>
              </w:rPr>
              <w:t>Threat-reduced framing and coaching improve retry and return (the adaptive-learning framework, Chapter 7)</w:t>
            </w:r>
          </w:p>
        </w:tc>
      </w:tr>
      <w:tr>
        <w:tc>
          <w:tcPr>
            <w:tcW w:type="dxa" w:w="2126"/>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2126"/>
          </w:tcPr>
          <w:p>
            <w:pPr>
              <w:pStyle w:val="Normal"/>
            </w:pPr>
            <w:r>
              <w:rPr>
                <w:sz w:val="20"/>
                <w:szCs w:val="22"/>
                <w:lang w:val="en-US" w:eastAsia="en-US" w:bidi="ar-SA"/>
                <w:rFonts w:ascii="Times New Roman" w:hAnsi="Times New Roman" w:eastAsia="Times New Roman" w:cs="Times New Roman"/>
              </w:rPr>
              <w:t>Octalysis D8 inverted: zero-failure design (§2.6.2C, from this research's observations)</w:t>
            </w:r>
          </w:p>
        </w:tc>
        <w:tc>
          <w:tcPr>
            <w:tcW w:type="dxa" w:w="2126"/>
          </w:tcPr>
          <w:p>
            <w:pPr>
              <w:pStyle w:val="Normal"/>
            </w:pPr>
            <w:r>
              <w:rPr>
                <w:sz w:val="20"/>
                <w:szCs w:val="22"/>
                <w:lang w:val="en-US" w:eastAsia="en-US" w:bidi="ar-SA"/>
                <w:rFonts w:ascii="Times New Roman" w:hAnsi="Times New Roman" w:eastAsia="Times New Roman" w:cs="Times New Roman"/>
              </w:rPr>
              <w:t>The operative loss is identity-level, outside the game's ledger; verdict cues, not in-game losses, carry it</w:t>
            </w:r>
          </w:p>
        </w:tc>
        <w:tc>
          <w:tcPr>
            <w:tcW w:type="dxa" w:w="2126"/>
          </w:tcPr>
          <w:p>
            <w:pPr>
              <w:pStyle w:val="Normal"/>
            </w:pPr>
            <w:r>
              <w:rPr>
                <w:sz w:val="20"/>
                <w:szCs w:val="22"/>
                <w:lang w:val="en-US" w:eastAsia="en-US" w:bidi="ar-SA"/>
                <w:rFonts w:ascii="Times New Roman" w:hAnsi="Times New Roman" w:eastAsia="Times New Roman" w:cs="Times New Roman"/>
              </w:rPr>
              <w:t>Removing terminal failure verdicts (zero-failure states, §5.3.10) plus decoupling increases retry and return (the adaptive-learning framework, Chapter 7; isolated test in §8.8)</w:t>
            </w:r>
          </w:p>
        </w:tc>
      </w:tr>
    </w:tbl>
    <w:p>
      <w:pPr>
        <w:pStyle w:val="Heading3"/>
      </w:pPr>
      <w:bookmarkStart w:id="33" w:name="_Toc232024529"/>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2.5.6 A Four-Layer Behavioural Integration Proposed for FIAS</w:t>
      </w:r>
    </w:p>
    <w:p>
      <w:pPr>
        <w:pStyle w:val="Normal"/>
        <w:jc w:val="both"/>
      </w:pPr>
      <w:r>
        <w:rPr>
          <w:szCs w:val="22"/>
          <w:lang w:val="en-US" w:eastAsia="en-US" w:bidi="ar-SA"/>
          <w:rFonts w:ascii="Times New Roman" w:hAnsi="Times New Roman" w:eastAsia="Times New Roman" w:cs="Times New Roman"/>
          <w:sz w:val="24"/>
        </w:rP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2.6 Stage Five: Positioning Decoupled Gameplay and Adaptive Learning as Design Responses</w:t>
      </w:r>
    </w:p>
    <w:p>
      <w:pPr>
        <w:pStyle w:val="Heading3"/>
      </w:pPr>
      <w:bookmarkStart w:id="37" w:name="_Toc23202453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pPr>
        <w:pStyle w:val="Heading3"/>
      </w:pPr>
      <w:bookmarkStart w:id="39" w:name="_Toc232024537"/>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pPr>
        <w:pStyle w:val="Normal"/>
        <w:jc w:val="both"/>
      </w:pPr>
      <w:r>
        <w:rPr>
          <w:szCs w:val="22"/>
          <w:lang w:val="en-US" w:eastAsia="en-US" w:bidi="ar-SA"/>
          <w:rFonts w:ascii="Times New Roman" w:hAnsi="Times New Roman" w:eastAsia="Times New Roman" w:cs="Times New Roman"/>
          <w:sz w:val="24"/>
        </w:rP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2.6.2C Zero-Failure Design: A Research-Generated Concept That Inverts Octalysis D8</w:t>
      </w:r>
    </w:p>
    <w:p>
      <w:pPr>
        <w:pStyle w:val="Normal"/>
      </w:pPr>
      <w:r>
        <w:rPr>
          <w:szCs w:val="22"/>
          <w:lang w:val="en-US" w:eastAsia="en-US" w:bidi="ar-SA"/>
          <w:rFonts w:ascii="Times New Roman" w:hAnsi="Times New Roman" w:eastAsia="Times New Roman" w:cs="Times New Roman"/>
          <w:sz w:val="24"/>
        </w:rP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pPr>
        <w:pStyle w:val="Normal"/>
      </w:pPr>
      <w:r>
        <w:rPr>
          <w:szCs w:val="22"/>
          <w:lang w:val="en-US" w:eastAsia="en-US" w:bidi="ar-SA"/>
          <w:rFonts w:ascii="Times New Roman" w:hAnsi="Times New Roman" w:eastAsia="Times New Roman" w:cs="Times New Roman"/>
          <w:sz w:val="24"/>
        </w:rP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pPr>
        <w:pStyle w:val="Normal"/>
      </w:pPr>
      <w:r>
        <w:rPr>
          <w:szCs w:val="26"/>
          <w:lang w:val="en-US" w:eastAsia="en-US" w:bidi="ar-SA"/>
          <w:rFonts w:ascii="Times New Roman" w:hAnsi="Times New Roman" w:eastAsia="Times New Roman" w:cs="Times New Roman"/>
          <w:sz w:val="28"/>
          <w:b/>
        </w:rP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29.3-percentage-point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8"/>
          <w:b/>
        </w:rP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8"/>
          <w:b/>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8"/>
          <w:b/>
        </w:rP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pPr>
        <w:pStyle w:val="Heading2"/>
      </w:pPr>
      <w:bookmarkStart w:id="40" w:name="_Toc2320245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2.7 Supporting Evidence and Adjacent Frameworks</w:t>
      </w:r>
      <w:bookmarkEnd w:id="40"/>
    </w:p>
    <w:p>
      <w:pPr>
        <w:pStyle w:val="Heading3"/>
      </w:pPr>
      <w:bookmarkStart w:id="41" w:name="_Toc232024541"/>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8"/>
          <w:b/>
        </w:rPr>
        <w:t>Koivisto and Malik (2021) reviewed the gamification-for-older-adults literature systematically across twelve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pPr>
        <w:pStyle w:val="Normal"/>
        <w:jc w:val="both"/>
      </w:pPr>
      <w:r>
        <w:rPr>
          <w:szCs w:val="26"/>
          <w:lang w:val="en-US" w:eastAsia="en-US" w:bidi="ar-SA"/>
          <w:rFonts w:ascii="Times New Roman" w:hAnsi="Times New Roman" w:eastAsia="Times New Roman" w:cs="Times New Roman"/>
          <w:sz w:val="28"/>
          <w:b/>
        </w:rP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pPr>
        <w:pStyle w:val="Heading3"/>
      </w:pPr>
      <w:bookmarkStart w:id="42" w:name="_Toc232024542"/>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2.7.2 The NASSS Framework: Documented Abandonment Without a Mechanism</w:t>
      </w:r>
      <w:bookmarkEnd w:id="42"/>
    </w:p>
    <w:p>
      <w:pPr>
        <w:pStyle w:val="Normal"/>
        <w:jc w:val="both"/>
      </w:pPr>
      <w:r>
        <w:rPr>
          <w:szCs w:val="26"/>
          <w:lang w:val="en-US" w:eastAsia="en-US" w:bidi="ar-SA"/>
          <w:rFonts w:ascii="Times New Roman" w:hAnsi="Times New Roman" w:eastAsia="Times New Roman" w:cs="Times New Roman"/>
          <w:sz w:val="28"/>
          <w:b/>
        </w:rP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pPr>
        <w:pStyle w:val="Heading3"/>
      </w:pPr>
      <w:bookmarkStart w:id="43" w:name="_Toc232024543"/>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8"/>
          <w:b/>
        </w:rP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pPr>
        <w:pStyle w:val="Heading3"/>
      </w:pPr>
      <w:bookmarkStart w:id="44" w:name="_Toc232024544"/>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8"/>
          <w:b/>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pStyle w:val="Heading2"/>
      </w:pPr>
      <w:bookmarkStart w:id="45" w:name="_Toc23202454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8"/>
          <w:b/>
        </w:rP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pPr>
        <w:pStyle w:val="Normal"/>
        <w:jc w:val="both"/>
      </w:pPr>
      <w:r>
        <w:rPr>
          <w:szCs w:val="26"/>
          <w:lang w:val="en-US" w:eastAsia="en-US" w:bidi="ar-SA"/>
          <w:rFonts w:ascii="Times New Roman" w:hAnsi="Times New Roman" w:eastAsia="Times New Roman" w:cs="Times New Roman"/>
          <w:sz w:val="28"/>
          <w:b/>
        </w:rPr>
        <w:t>No single stage carries the argument alone. The intellectual contribution is the chain itself: a null hypothesis honestly built from the best available models, an empirical rejection unlikely to be attributable to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pPr>
        <w:pStyle w:val="Normal"/>
        <w:spacing w:after="200" w:line="276"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3 Research Methodology</w:t>
      </w:r>
      <w:bookmarkEnd w:id="46"/>
    </w:p>
    <w:p>
      <w:pPr>
        <w:pStyle w:val="Heading2"/>
      </w:pPr>
      <w:bookmarkStart w:id="47" w:name="_Toc2320245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8"/>
          <w:b/>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pPr>
        <w:pStyle w:val="Heading2"/>
      </w:pPr>
      <w:bookmarkStart w:id="48" w:name="_Toc232024548"/>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8"/>
          <w:b/>
        </w:rP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pPr>
        <w:pStyle w:val="Normal"/>
        <w:jc w:val="both"/>
      </w:pPr>
      <w:r>
        <w:rPr>
          <w:szCs w:val="26"/>
          <w:lang w:val="en-US" w:eastAsia="en-US" w:bidi="ar-SA"/>
          <w:rFonts w:ascii="Times New Roman" w:hAnsi="Times New Roman" w:eastAsia="Times New Roman" w:cs="Times New Roman"/>
          <w:sz w:val="28"/>
          <w:b/>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8"/>
          <w:b/>
        </w:rPr>
        <w:t>Stage 3 was a between-cycle, between-cohort quasi-experimental field study with 120 adults aged 25-80 recruited through the author's Hong Kong-based networks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38 younger versus 16 of 41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pPr>
        <w:pStyle w:val="Normal"/>
      </w:pPr>
      <w:r>
        <w:rPr>
          <w:szCs w:val="26"/>
          <w:lang w:val="en-US" w:eastAsia="en-US" w:bidi="ar-SA"/>
          <w:rFonts w:ascii="Times New Roman" w:hAnsi="Times New Roman" w:eastAsia="Times New Roman" w:cs="Times New Roman"/>
          <w:sz w:val="28"/>
          <w:b/>
        </w:rPr>
        <w:t>A fourth evidence activity supplements the three stages. After the Stage-3 analysis, a single expert consultation interview was conducted with Dr Sarah C.W. Yuan (Center on the Family, University of Hawai'i at Mānoa), a medical sociologist and demographer of aging whose field of practice is community group falls-prevention programming. The purpose was to test the programme's behavioural interpretation against an independent discipline and an independent field of practice — non-electronic group exercise and physical games for balance — in which none of this programme's apparatus is used. The consultation informs interpretation and design (§6.8A, §7.5.3) and is not treated as participant data; the record and its attribution basis are given in Appendix H.</w:t>
      </w:r>
    </w:p>
    <w:p>
      <w:pPr>
        <w:pStyle w:val="FigureCaption"/>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pPr>
              <w:pStyle w:val="Normal"/>
            </w:pPr>
            <w:r>
              <w:rPr>
                <w:b/>
                <w:sz w:val="32"/>
                <w:szCs w:val="28"/>
                <w:lang w:val="en-US" w:eastAsia="en-US" w:bidi="ar-SA"/>
                <w:rFonts w:ascii="Times New Roman" w:hAnsi="Times New Roman" w:eastAsia="Times New Roman" w:cs="Times New Roman"/>
              </w:rPr>
              <w:t>Claim</w:t>
            </w:r>
          </w:p>
        </w:tc>
        <w:tc>
          <w:tcPr>
            <w:tcW w:type="dxa" w:w="1701"/>
          </w:tcPr>
          <w:p>
            <w:pPr>
              <w:pStyle w:val="Normal"/>
            </w:pPr>
            <w:r>
              <w:rPr>
                <w:b/>
                <w:sz w:val="32"/>
                <w:szCs w:val="28"/>
                <w:lang w:val="en-US" w:eastAsia="en-US" w:bidi="ar-SA"/>
                <w:rFonts w:ascii="Times New Roman" w:hAnsi="Times New Roman" w:eastAsia="Times New Roman" w:cs="Times New Roman"/>
              </w:rPr>
              <w:t>Origin</w:t>
            </w:r>
          </w:p>
        </w:tc>
        <w:tc>
          <w:tcPr>
            <w:tcW w:type="dxa" w:w="1701"/>
          </w:tcPr>
          <w:p>
            <w:pPr>
              <w:pStyle w:val="Normal"/>
            </w:pPr>
            <w:r>
              <w:rPr>
                <w:b/>
                <w:sz w:val="32"/>
                <w:szCs w:val="28"/>
                <w:lang w:val="en-US" w:eastAsia="en-US" w:bidi="ar-SA"/>
                <w:rFonts w:ascii="Times New Roman" w:hAnsi="Times New Roman" w:eastAsia="Times New Roman" w:cs="Times New Roman"/>
              </w:rPr>
              <w:t>Stated</w:t>
            </w:r>
          </w:p>
        </w:tc>
        <w:tc>
          <w:tcPr>
            <w:tcW w:type="dxa" w:w="1701"/>
          </w:tcPr>
          <w:p>
            <w:pPr>
              <w:pStyle w:val="Normal"/>
            </w:pPr>
            <w:r>
              <w:rPr>
                <w:b/>
                <w:sz w:val="32"/>
                <w:szCs w:val="28"/>
                <w:lang w:val="en-US" w:eastAsia="en-US" w:bidi="ar-SA"/>
                <w:rFonts w:ascii="Times New Roman" w:hAnsi="Times New Roman" w:eastAsia="Times New Roman" w:cs="Times New Roman"/>
              </w:rPr>
              <w:t>Tested / examined</w:t>
            </w:r>
          </w:p>
        </w:tc>
        <w:tc>
          <w:tcPr>
            <w:tcW w:type="dxa" w:w="1701"/>
          </w:tcPr>
          <w:p>
            <w:pPr>
              <w:pStyle w:val="Normal"/>
            </w:pPr>
            <w:r>
              <w:rPr>
                <w:b/>
                <w:sz w:val="32"/>
                <w:szCs w:val="28"/>
                <w:lang w:val="en-US" w:eastAsia="en-US" w:bidi="ar-SA"/>
                <w:rFonts w:ascii="Times New Roman" w:hAnsi="Times New Roman" w:eastAsia="Times New Roman" w:cs="Times New Roman"/>
              </w:rPr>
              <w:t>Status in this thesis</w:t>
            </w:r>
          </w:p>
        </w:tc>
      </w:tr>
      <w:tr>
        <w:tc>
          <w:tcPr>
            <w:tcW w:type="dxa" w:w="1701"/>
          </w:tcPr>
          <w:p>
            <w:pPr>
              <w:pStyle w:val="Normal"/>
            </w:pPr>
            <w:r>
              <w:rPr>
                <w:sz w:val="24"/>
                <w:szCs w:val="22"/>
                <w:lang w:val="en-US" w:eastAsia="en-US" w:bidi="ar-SA"/>
                <w:rFonts w:ascii="Times New Roman" w:hAnsi="Times New Roman" w:eastAsia="Times New Roman" w:cs="Times New Roman"/>
                <w:b/>
              </w:rPr>
              <w:t>H0 — gamified FRA satisfying TAM/STAM + Octalysis sustains elderly acceptance; failure does not produce abandonment</w:t>
            </w:r>
          </w:p>
        </w:tc>
        <w:tc>
          <w:tcPr>
            <w:tcW w:type="dxa" w:w="1701"/>
          </w:tcPr>
          <w:p>
            <w:pPr>
              <w:pStyle w:val="Normal"/>
            </w:pPr>
            <w:r>
              <w:rPr>
                <w:sz w:val="24"/>
                <w:szCs w:val="22"/>
                <w:lang w:val="en-US" w:eastAsia="en-US" w:bidi="ar-SA"/>
                <w:rFonts w:ascii="Times New Roman" w:hAnsi="Times New Roman" w:eastAsia="Times New Roman" w:cs="Times New Roman"/>
                <w:b/>
              </w:rPr>
              <w:t>Literature (acceptance + gamification)</w:t>
            </w:r>
          </w:p>
        </w:tc>
        <w:tc>
          <w:tcPr>
            <w:tcW w:type="dxa" w:w="1701"/>
          </w:tcPr>
          <w:p>
            <w:pPr>
              <w:pStyle w:val="Normal"/>
            </w:pPr>
            <w:r>
              <w:rPr>
                <w:sz w:val="24"/>
                <w:szCs w:val="22"/>
                <w:lang w:val="en-US" w:eastAsia="en-US" w:bidi="ar-SA"/>
                <w:rFonts w:ascii="Times New Roman" w:hAnsi="Times New Roman" w:eastAsia="Times New Roman" w:cs="Times New Roman"/>
                <w:b/>
              </w:rPr>
              <w:t>§2.3.5; §5.1</w:t>
            </w:r>
          </w:p>
        </w:tc>
        <w:tc>
          <w:tcPr>
            <w:tcW w:type="dxa" w:w="1701"/>
          </w:tcPr>
          <w:p>
            <w:pPr>
              <w:pStyle w:val="Normal"/>
            </w:pPr>
            <w:r>
              <w:rPr>
                <w:sz w:val="24"/>
                <w:szCs w:val="22"/>
                <w:lang w:val="en-US" w:eastAsia="en-US" w:bidi="ar-SA"/>
                <w:rFonts w:ascii="Times New Roman" w:hAnsi="Times New Roman" w:eastAsia="Times New Roman" w:cs="Times New Roman"/>
                <w:b/>
              </w:rPr>
              <w:t>Stage 1 retrospectively (Ch 4); Stage 2 prospectively (Ch 5)</w:t>
            </w:r>
          </w:p>
        </w:tc>
        <w:tc>
          <w:tcPr>
            <w:tcW w:type="dxa" w:w="1701"/>
          </w:tcPr>
          <w:p>
            <w:pPr>
              <w:pStyle w:val="Normal"/>
            </w:pPr>
            <w:r>
              <w:rPr>
                <w:sz w:val="24"/>
                <w:szCs w:val="22"/>
                <w:lang w:val="en-US" w:eastAsia="en-US" w:bidi="ar-SA"/>
                <w:rFonts w:ascii="Times New Roman" w:hAnsi="Times New Roman" w:eastAsia="Times New Roman" w:cs="Times New Roman"/>
                <w:b/>
              </w:rPr>
              <w:t>Rejected</w:t>
            </w:r>
          </w:p>
        </w:tc>
      </w:tr>
      <w:tr>
        <w:tc>
          <w:tcPr>
            <w:tcW w:type="dxa" w:w="1701"/>
          </w:tcPr>
          <w:p>
            <w:pPr>
              <w:pStyle w:val="Normal"/>
            </w:pPr>
            <w:r>
              <w:rPr>
                <w:sz w:val="24"/>
                <w:szCs w:val="22"/>
                <w:lang w:val="en-US" w:eastAsia="en-US" w:bidi="ar-SA"/>
                <w:rFonts w:ascii="Times New Roman" w:hAnsi="Times New Roman" w:eastAsia="Times New Roman" w:cs="Times New Roman"/>
                <w:b/>
              </w:rPr>
              <w:t>H1, H2 and H4 — directional hypotheses on first failure, re-engagement and the improvement/non-return paradox</w:t>
            </w:r>
          </w:p>
        </w:tc>
        <w:tc>
          <w:tcPr>
            <w:tcW w:type="dxa" w:w="1701"/>
          </w:tcPr>
          <w:p>
            <w:pPr>
              <w:pStyle w:val="Normal"/>
            </w:pPr>
            <w:r>
              <w:rPr>
                <w:sz w:val="24"/>
                <w:szCs w:val="22"/>
                <w:lang w:val="en-US" w:eastAsia="en-US" w:bidi="ar-SA"/>
                <w:rFonts w:ascii="Times New Roman" w:hAnsi="Times New Roman" w:eastAsia="Times New Roman" w:cs="Times New Roman"/>
                <w:b/>
              </w:rPr>
              <w:t>Stage-1 observations</w:t>
            </w:r>
          </w:p>
        </w:tc>
        <w:tc>
          <w:tcPr>
            <w:tcW w:type="dxa" w:w="1701"/>
          </w:tcPr>
          <w:p>
            <w:pPr>
              <w:pStyle w:val="Normal"/>
            </w:pPr>
            <w:r>
              <w:rPr>
                <w:sz w:val="24"/>
                <w:szCs w:val="22"/>
                <w:lang w:val="en-US" w:eastAsia="en-US" w:bidi="ar-SA"/>
                <w:rFonts w:ascii="Times New Roman" w:hAnsi="Times New Roman" w:eastAsia="Times New Roman" w:cs="Times New Roman"/>
                <w:b/>
              </w:rPr>
              <w:t>§5.1</w:t>
            </w:r>
          </w:p>
        </w:tc>
        <w:tc>
          <w:tcPr>
            <w:tcW w:type="dxa" w:w="1701"/>
          </w:tcPr>
          <w:p>
            <w:pPr>
              <w:pStyle w:val="Normal"/>
            </w:pPr>
            <w:r>
              <w:rPr>
                <w:sz w:val="24"/>
                <w:szCs w:val="22"/>
                <w:lang w:val="en-US" w:eastAsia="en-US" w:bidi="ar-SA"/>
                <w:rFonts w:ascii="Times New Roman" w:hAnsi="Times New Roman" w:eastAsia="Times New Roman" w:cs="Times New Roman"/>
                <w:b/>
              </w:rPr>
              <w:t>Stage 2 (Ch 5)</w:t>
            </w:r>
          </w:p>
        </w:tc>
        <w:tc>
          <w:tcPr>
            <w:tcW w:type="dxa" w:w="1701"/>
          </w:tcPr>
          <w:p>
            <w:pPr>
              <w:pStyle w:val="Normal"/>
            </w:pPr>
            <w:r>
              <w:rPr>
                <w:sz w:val="24"/>
                <w:szCs w:val="22"/>
                <w:lang w:val="en-US" w:eastAsia="en-US" w:bidi="ar-SA"/>
                <w:rFonts w:ascii="Times New Roman" w:hAnsi="Times New Roman" w:eastAsia="Times New Roman" w:cs="Times New Roman"/>
                <w:b/>
              </w:rPr>
              <w:t>Directionally supported within a small single-site sample</w:t>
            </w:r>
          </w:p>
        </w:tc>
      </w:tr>
      <w:tr>
        <w:tc>
          <w:tcPr>
            <w:tcW w:type="dxa" w:w="1701"/>
          </w:tcPr>
          <w:p>
            <w:pPr>
              <w:pStyle w:val="Normal"/>
            </w:pPr>
            <w:r>
              <w:rPr>
                <w:sz w:val="24"/>
                <w:szCs w:val="22"/>
                <w:lang w:val="en-US" w:eastAsia="en-US" w:bidi="ar-SA"/>
                <w:rFonts w:ascii="Times New Roman" w:hAnsi="Times New Roman" w:eastAsia="Times New Roman" w:cs="Times New Roman"/>
                <w:b/>
              </w:rPr>
              <w:t>H5 and the Stage-3 predictions — decoupling is associated with lower non-return and post-failure return</w:t>
            </w:r>
          </w:p>
        </w:tc>
        <w:tc>
          <w:tcPr>
            <w:tcW w:type="dxa" w:w="1701"/>
          </w:tcPr>
          <w:p>
            <w:pPr>
              <w:pStyle w:val="Normal"/>
            </w:pPr>
            <w:r>
              <w:rPr>
                <w:sz w:val="24"/>
                <w:szCs w:val="22"/>
                <w:lang w:val="en-US" w:eastAsia="en-US" w:bidi="ar-SA"/>
                <w:rFonts w:ascii="Times New Roman" w:hAnsi="Times New Roman" w:eastAsia="Times New Roman" w:cs="Times New Roman"/>
                <w:b/>
              </w:rPr>
              <w:t>Stage-2 findings (mental-accounting row of Table 2.1)</w:t>
            </w:r>
          </w:p>
        </w:tc>
        <w:tc>
          <w:tcPr>
            <w:tcW w:type="dxa" w:w="1701"/>
          </w:tcPr>
          <w:p>
            <w:pPr>
              <w:pStyle w:val="Normal"/>
            </w:pPr>
            <w:r>
              <w:rPr>
                <w:sz w:val="24"/>
                <w:szCs w:val="22"/>
                <w:lang w:val="en-US" w:eastAsia="en-US" w:bidi="ar-SA"/>
                <w:rFonts w:ascii="Times New Roman" w:hAnsi="Times New Roman" w:eastAsia="Times New Roman" w:cs="Times New Roman"/>
                <w:b/>
              </w:rPr>
              <w:t>§5.1; §6.2</w:t>
            </w:r>
          </w:p>
        </w:tc>
        <w:tc>
          <w:tcPr>
            <w:tcW w:type="dxa" w:w="1701"/>
          </w:tcPr>
          <w:p>
            <w:pPr>
              <w:pStyle w:val="Normal"/>
            </w:pPr>
            <w:r>
              <w:rPr>
                <w:sz w:val="24"/>
                <w:szCs w:val="22"/>
                <w:lang w:val="en-US" w:eastAsia="en-US" w:bidi="ar-SA"/>
                <w:rFonts w:ascii="Times New Roman" w:hAnsi="Times New Roman" w:eastAsia="Times New Roman" w:cs="Times New Roman"/>
                <w:b/>
              </w:rPr>
              <w:t>Stage 3 (Ch 6)</w:t>
            </w:r>
          </w:p>
        </w:tc>
        <w:tc>
          <w:tcPr>
            <w:tcW w:type="dxa" w:w="1701"/>
          </w:tcPr>
          <w:p>
            <w:pPr>
              <w:pStyle w:val="Normal"/>
            </w:pPr>
            <w:r>
              <w:rPr>
                <w:sz w:val="24"/>
                <w:szCs w:val="22"/>
                <w:lang w:val="en-US" w:eastAsia="en-US" w:bidi="ar-SA"/>
                <w:rFonts w:ascii="Times New Roman" w:hAnsi="Times New Roman" w:eastAsia="Times New Roman" w:cs="Times New Roman"/>
                <w:b/>
              </w:rPr>
              <w:t>Supported as association; attribution bounded by the between-cohort design</w:t>
            </w:r>
          </w:p>
        </w:tc>
      </w:tr>
      <w:tr>
        <w:tc>
          <w:tcPr>
            <w:tcW w:type="dxa" w:w="1701"/>
          </w:tcPr>
          <w:p>
            <w:pPr>
              <w:pStyle w:val="Normal"/>
            </w:pPr>
            <w:r>
              <w:rPr>
                <w:sz w:val="24"/>
                <w:szCs w:val="22"/>
                <w:lang w:val="en-US" w:eastAsia="en-US" w:bidi="ar-SA"/>
                <w:rFonts w:ascii="Times New Roman" w:hAnsi="Times New Roman" w:eastAsia="Times New Roman" w:cs="Times New Roman"/>
                <w:b/>
              </w:rPr>
              <w:t>Adaptive-learning proposition — individual-level continuous improvement as the behavioural-change driver that can re-attach clinical purpose</w:t>
            </w:r>
          </w:p>
        </w:tc>
        <w:tc>
          <w:tcPr>
            <w:tcW w:type="dxa" w:w="1701"/>
          </w:tcPr>
          <w:p>
            <w:pPr>
              <w:pStyle w:val="Normal"/>
            </w:pPr>
            <w:r>
              <w:rPr>
                <w:sz w:val="24"/>
                <w:szCs w:val="22"/>
                <w:lang w:val="en-US" w:eastAsia="en-US" w:bidi="ar-SA"/>
                <w:rFonts w:ascii="Times New Roman" w:hAnsi="Times New Roman" w:eastAsia="Times New Roman" w:cs="Times New Roman"/>
                <w:b/>
              </w:rPr>
              <w:t>Discovery: forced by the H0 rejection and the Stage-3 commitment gap</w:t>
            </w:r>
          </w:p>
        </w:tc>
        <w:tc>
          <w:tcPr>
            <w:tcW w:type="dxa" w:w="1701"/>
          </w:tcPr>
          <w:p>
            <w:pPr>
              <w:pStyle w:val="Normal"/>
            </w:pPr>
            <w:r>
              <w:rPr>
                <w:sz w:val="24"/>
                <w:szCs w:val="22"/>
                <w:lang w:val="en-US" w:eastAsia="en-US" w:bidi="ar-SA"/>
                <w:rFonts w:ascii="Times New Roman" w:hAnsi="Times New Roman" w:eastAsia="Times New Roman" w:cs="Times New Roman"/>
                <w:b/>
              </w:rPr>
              <w:t>§6.8; Ch 7 (the adaptive-learning framework)</w:t>
            </w:r>
          </w:p>
        </w:tc>
        <w:tc>
          <w:tcPr>
            <w:tcW w:type="dxa" w:w="1701"/>
          </w:tcPr>
          <w:p>
            <w:pPr>
              <w:pStyle w:val="Normal"/>
            </w:pPr>
            <w:r>
              <w:rPr>
                <w:sz w:val="24"/>
                <w:szCs w:val="22"/>
                <w:lang w:val="en-US" w:eastAsia="en-US" w:bidi="ar-SA"/>
                <w:rFonts w:ascii="Times New Roman" w:hAnsi="Times New Roman" w:eastAsia="Times New Roman" w:cs="Times New Roman"/>
                <w:b/>
              </w:rPr>
              <w:t>Not yet tested in isolation</w:t>
            </w:r>
          </w:p>
        </w:tc>
        <w:tc>
          <w:tcPr>
            <w:tcW w:type="dxa" w:w="1701"/>
          </w:tcPr>
          <w:p>
            <w:pPr>
              <w:pStyle w:val="Normal"/>
            </w:pPr>
            <w:r>
              <w:rPr>
                <w:sz w:val="24"/>
                <w:szCs w:val="22"/>
                <w:lang w:val="en-US" w:eastAsia="en-US" w:bidi="ar-SA"/>
                <w:rFonts w:ascii="Times New Roman" w:hAnsi="Times New Roman" w:eastAsia="Times New Roman" w:cs="Times New Roman"/>
                <w:b/>
              </w:rPr>
              <w:t>Proposed; isolated evaluation pre-specified in §8.8 and instrumented in §3.6</w:t>
            </w:r>
          </w:p>
        </w:tc>
      </w:tr>
      <w:tr>
        <w:tc>
          <w:tcPr>
            <w:tcW w:type="dxa" w:w="1701"/>
          </w:tcPr>
          <w:p>
            <w:pPr>
              <w:pStyle w:val="Normal"/>
            </w:pPr>
            <w:r>
              <w:rPr>
                <w:sz w:val="24"/>
                <w:szCs w:val="22"/>
                <w:lang w:val="en-US" w:eastAsia="en-US" w:bidi="ar-SA"/>
                <w:rFonts w:ascii="Times New Roman" w:hAnsi="Times New Roman" w:eastAsia="Times New Roman" w:cs="Times New Roman"/>
                <w:b/>
              </w:rPr>
              <w:t>H0-age — under the decoupled condition, no difference between age groups</w:t>
            </w:r>
          </w:p>
        </w:tc>
        <w:tc>
          <w:tcPr>
            <w:tcW w:type="dxa" w:w="1701"/>
          </w:tcPr>
          <w:p>
            <w:pPr>
              <w:pStyle w:val="Normal"/>
            </w:pPr>
            <w:r>
              <w:rPr>
                <w:sz w:val="24"/>
                <w:szCs w:val="22"/>
                <w:lang w:val="en-US" w:eastAsia="en-US" w:bidi="ar-SA"/>
                <w:rFonts w:ascii="Times New Roman" w:hAnsi="Times New Roman" w:eastAsia="Times New Roman" w:cs="Times New Roman"/>
                <w:b/>
              </w:rPr>
              <w:t>Stage-3 cohort design (three age bands as built-in comparison groups)</w:t>
            </w:r>
          </w:p>
        </w:tc>
        <w:tc>
          <w:tcPr>
            <w:tcW w:type="dxa" w:w="1701"/>
          </w:tcPr>
          <w:p>
            <w:pPr>
              <w:pStyle w:val="Normal"/>
            </w:pPr>
            <w:r>
              <w:rPr>
                <w:sz w:val="24"/>
                <w:szCs w:val="22"/>
                <w:lang w:val="en-US" w:eastAsia="en-US" w:bidi="ar-SA"/>
                <w:rFonts w:ascii="Times New Roman" w:hAnsi="Times New Roman" w:eastAsia="Times New Roman" w:cs="Times New Roman"/>
                <w:b/>
              </w:rPr>
              <w:t>§3.2; §6.2</w:t>
            </w:r>
          </w:p>
        </w:tc>
        <w:tc>
          <w:tcPr>
            <w:tcW w:type="dxa" w:w="1701"/>
          </w:tcPr>
          <w:p>
            <w:pPr>
              <w:pStyle w:val="Normal"/>
            </w:pPr>
            <w:r>
              <w:rPr>
                <w:sz w:val="24"/>
                <w:szCs w:val="22"/>
                <w:lang w:val="en-US" w:eastAsia="en-US" w:bidi="ar-SA"/>
                <w:rFonts w:ascii="Times New Roman" w:hAnsi="Times New Roman" w:eastAsia="Times New Roman" w:cs="Times New Roman"/>
                <w:b/>
              </w:rPr>
              <w:t>Stage 3 (Ch 6): age-stratified engagement</w:t>
            </w:r>
          </w:p>
        </w:tc>
        <w:tc>
          <w:tcPr>
            <w:tcW w:type="dxa" w:w="1701"/>
          </w:tcPr>
          <w:p>
            <w:pPr>
              <w:pStyle w:val="Normal"/>
            </w:pPr>
            <w:r>
              <w:rPr>
                <w:szCs w:val="26"/>
                <w:lang w:val="en-US" w:eastAsia="en-US" w:bidi="ar-SA"/>
                <w:rFonts w:ascii="Times New Roman" w:hAnsi="Times New Roman" w:eastAsia="Times New Roman" w:cs="Times New Roman"/>
                <w:sz w:val="28"/>
                <w:b/>
              </w:rPr>
              <w:t>Nullified: initial dropout 0.0% (25-44) vs 39.0% (65-80), Fisher's exact p &lt; 0.0001; non-return converges low in all bands</w:t>
            </w:r>
          </w:p>
        </w:tc>
      </w:tr>
    </w:tbl>
    <w:p>
      <w:pPr>
        <w:pStyle w:val="Heading2"/>
      </w:pPr>
      <w:bookmarkStart w:id="49" w:name="_Toc2320245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8"/>
          <w:b/>
        </w:rP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p>
    <w:p>
      <w:pPr>
        <w:pStyle w:val="Normal"/>
        <w:keepNext/>
        <w:spacing w:before="160" w:after="40"/>
        <w:jc w:val="center"/>
      </w:pPr>
      <w:r>
        <w:drawing>
          <wp:inlin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pPr>
        <w:pStyle w:val="Heading2"/>
      </w:pPr>
      <w:bookmarkStart w:id="50" w:name="_Toc2320245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8"/>
          <w:b/>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the approval reference and coverage statement are recorded in the ethics documentation held with the programme records.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p>
    <w:p>
      <w:r>
        <w:t>Consent in the Stage-3 remote deployment operated by informed, implied consent, and the thesis states the procedure exactly as it was. The distribution e-mails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pStyle w:val="Heading2"/>
      </w:pPr>
      <w:bookmarkStart w:id="51" w:name="_Toc2320245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8"/>
          <w:b/>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8"/>
          <w:b/>
        </w:rP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pPr>
        <w:pStyle w:val="Normal"/>
      </w:pPr>
      <w:r>
        <w:rPr>
          <w:i w:val="0"/>
          <w:szCs w:val="26"/>
          <w:lang w:val="en-US" w:eastAsia="en-US" w:bidi="ar-SA"/>
          <w:rFonts w:ascii="Times New Roman" w:hAnsi="Times New Roman" w:eastAsia="Times New Roman" w:cs="Times New Roman"/>
          <w:sz w:val="28"/>
          <w:b/>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pPr>
        <w:pStyle w:val="Normal"/>
      </w:pPr>
      <w:r>
        <w:rPr>
          <w:szCs w:val="26"/>
          <w:lang w:val="en-US" w:eastAsia="en-US" w:bidi="ar-SA"/>
          <w:rFonts w:ascii="Times New Roman" w:hAnsi="Times New Roman" w:eastAsia="Times New Roman" w:cs="Times New Roman"/>
          <w:sz w:val="28"/>
          <w:b/>
        </w:rPr>
        <w:t>The chronological provenance of each hypothesis is recorded explicitly, so that prospective tests and action-research discoveries cannot be conflated. H0 is a reconstructed prospective hypothesis: the expectation it formalises governed the Stage-2 design ex ante — the build criteria of §5.2 document this — but its formal statement as a null hypothesis was written during the analysis and writing phase, not deposited in advance, and the thesis claims no more for it than that.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is an action-research discovery in the full sense: it was formed after the Stage-3 commitment gap was observed, is claimed only as a discovery, and receives its first genuine test in the pre-specified study of §8.8. No hypothesis in the programme was publicly preregistered; the protections against hindsight restatement are this documented chronology, the confirmation-versus-discovery discipline of §3.5, and the pre-specification of every forward test.</w:t>
      </w:r>
    </w:p>
    <w:p>
      <w:pPr>
        <w:pStyle w:val="Heading2"/>
      </w:pPr>
      <w:bookmarkStart w:id="52" w:name="_Toc23202455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3.6 An Instrumentation Roadmap for the Adaptive-Learning Claim</w:t>
      </w:r>
      <w:bookmarkEnd w:id="52"/>
    </w:p>
    <w:p>
      <w:pPr>
        <w:pStyle w:val="Normal"/>
        <w:jc w:val="both"/>
      </w:pPr>
      <w:r>
        <w:rPr>
          <w:szCs w:val="26"/>
          <w:lang w:val="en-US" w:eastAsia="en-US" w:bidi="ar-SA"/>
          <w:rFonts w:ascii="Times New Roman" w:hAnsi="Times New Roman" w:eastAsia="Times New Roman" w:cs="Times New Roman"/>
          <w:sz w:val="28"/>
          <w:b/>
        </w:rP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pPr>
        <w:pStyle w:val="Normal"/>
        <w:jc w:val="both"/>
      </w:pPr>
      <w:r>
        <w:rPr>
          <w:szCs w:val="26"/>
          <w:lang w:val="en-US" w:eastAsia="en-US" w:bidi="ar-SA"/>
          <w:rFonts w:ascii="Times New Roman" w:hAnsi="Times New Roman" w:eastAsia="Times New Roman" w:cs="Times New Roman"/>
          <w:sz w:val="28"/>
          <w:b/>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8"/>
          <w:b/>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b/>
          <w:color w:val="000000"/>
          <w:sz w:val="28"/>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4 Stage 1 — From FIDS to FIAS</w:t>
      </w:r>
    </w:p>
    <w:p>
      <w:pPr>
        <w:pStyle w:val="Normal"/>
        <w:jc w:val="both"/>
      </w:pPr>
      <w:r>
        <w:rPr>
          <w:szCs w:val="26"/>
          <w:lang w:val="en-US" w:eastAsia="en-US" w:bidi="ar-SA"/>
          <w:rFonts w:ascii="Times New Roman" w:hAnsi="Times New Roman" w:eastAsia="Times New Roman" w:cs="Times New Roman"/>
          <w:sz w:val="28"/>
          <w:b/>
        </w:rPr>
        <w:t>Based on Paper 1 (SS-293).</w:t>
      </w:r>
    </w:p>
    <w:p>
      <w:pPr>
        <w:pStyle w:val="Heading2"/>
      </w:pPr>
      <w:bookmarkStart w:id="53" w:name="_Toc23202455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4.1 Purpose</w:t>
      </w:r>
      <w:bookmarkEnd w:id="53"/>
    </w:p>
    <w:p>
      <w:pPr>
        <w:pStyle w:val="Normal"/>
        <w:jc w:val="both"/>
      </w:pPr>
      <w:r>
        <w:rPr>
          <w:szCs w:val="26"/>
          <w:lang w:val="en-US" w:eastAsia="en-US" w:bidi="ar-SA"/>
          <w:rFonts w:ascii="Times New Roman" w:hAnsi="Times New Roman" w:eastAsia="Times New Roman" w:cs="Times New Roman"/>
          <w:sz w:val="28"/>
          <w:b/>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pPr>
        <w:pStyle w:val="Heading2"/>
      </w:pPr>
      <w:bookmarkStart w:id="54" w:name="_Toc23202455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G.8).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pPr>
        <w:pStyle w:val="Heading2"/>
      </w:pPr>
      <w:bookmarkStart w:id="56" w:name="_Toc23202455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pPr>
        <w:pStyle w:val="FigureCaption"/>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0" w:type="auto"/>
        <w:jc w:val="center"/>
        <w:tblLook w:val="04A0" w:firstRow="1" w:lastRow="0" w:firstColumn="1" w:lastColumn="0" w:noHBand="0" w:noVBand="1"/>
      </w:tblPr>
      <w:tblGrid>
        <w:gridCol w:w="5665"/>
        <w:gridCol w:w="1848"/>
      </w:tblGrid>
      <w:tr>
        <w:trPr>
          <w:jc w:val="center"/>
        </w:trPr>
        <w:tc>
          <w:tcPr>
            <w:tcW w:w="5665" w:type="dxa"/>
          </w:tcPr>
          <w:p>
            <w:pPr>
              <w:pStyle w:val="Normal"/>
            </w:pPr>
            <w:r>
              <w:rPr>
                <w:b/>
                <w:sz w:val="20"/>
                <w:szCs w:val="22"/>
                <w:lang w:val="en-US" w:eastAsia="en-US" w:bidi="ar-SA"/>
                <w:rFonts w:ascii="Times New Roman" w:hAnsi="Times New Roman" w:eastAsia="Times New Roman" w:cs="Times New Roman"/>
              </w:rPr>
              <w:t>Survey item</w:t>
            </w:r>
          </w:p>
        </w:tc>
        <w:tc>
          <w:tcPr>
            <w:tcW w:w="1848" w:type="dxa"/>
          </w:tcPr>
          <w:p>
            <w:pPr>
              <w:pStyle w:val="Normal"/>
            </w:pPr>
            <w:r>
              <w:rPr>
                <w:b/>
                <w:sz w:val="20"/>
                <w:szCs w:val="22"/>
                <w:lang w:val="en-US" w:eastAsia="en-US" w:bidi="ar-SA"/>
                <w:rFonts w:ascii="Times New Roman" w:hAnsi="Times New Roman" w:eastAsia="Times New Roman" w:cs="Times New Roman"/>
              </w:rPr>
              <w:t>Result</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Ever used FRA</w:t>
            </w:r>
          </w:p>
        </w:tc>
        <w:tc>
          <w:tcPr>
            <w:tcW w:w="1848" w:type="dxa"/>
          </w:tcPr>
          <w:p>
            <w:pPr>
              <w:pStyle w:val="Normal"/>
            </w:pPr>
            <w:r>
              <w:rPr>
                <w:sz w:val="20"/>
                <w:szCs w:val="22"/>
                <w:lang w:val="en-US" w:eastAsia="en-US" w:bidi="ar-SA"/>
                <w:rFonts w:ascii="Times New Roman" w:hAnsi="Times New Roman" w:eastAsia="Times New Roman" w:cs="Times New Roman"/>
              </w:rPr>
              <w:t>39%</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Never used FRA</w:t>
            </w:r>
          </w:p>
        </w:tc>
        <w:tc>
          <w:tcPr>
            <w:tcW w:w="1848" w:type="dxa"/>
          </w:tcPr>
          <w:p>
            <w:pPr>
              <w:pStyle w:val="Normal"/>
            </w:pPr>
            <w:r>
              <w:rPr>
                <w:sz w:val="20"/>
                <w:szCs w:val="22"/>
                <w:lang w:val="en-US" w:eastAsia="en-US" w:bidi="ar-SA"/>
                <w:rFonts w:ascii="Times New Roman" w:hAnsi="Times New Roman" w:eastAsia="Times New Roman" w:cs="Times New Roman"/>
              </w:rPr>
              <w:t>61%</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48" w:type="dxa"/>
          </w:tcPr>
          <w:p>
            <w:pPr>
              <w:pStyle w:val="Normal"/>
            </w:pPr>
            <w:r>
              <w:rPr>
                <w:sz w:val="20"/>
                <w:szCs w:val="22"/>
                <w:lang w:val="en-US" w:eastAsia="en-US" w:bidi="ar-SA"/>
                <w:rFonts w:ascii="Times New Roman" w:hAnsi="Times New Roman" w:eastAsia="Times New Roman" w:cs="Times New Roman"/>
              </w:rPr>
              <w:t>~74%</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48" w:type="dxa"/>
          </w:tcPr>
          <w:p>
            <w:pPr>
              <w:pStyle w:val="Normal"/>
            </w:pPr>
            <w:r>
              <w:rPr>
                <w:sz w:val="20"/>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pPr>
        <w:pStyle w:val="FigureCaption"/>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trPr>
          <w:jc w:val="center"/>
        </w:trPr>
        <w:tc>
          <w:tcPr>
            <w:tcW w:w="2689" w:type="dxa"/>
          </w:tcPr>
          <w:p>
            <w:pPr>
              <w:pStyle w:val="Normal"/>
            </w:pPr>
            <w:r>
              <w:rPr>
                <w:b/>
                <w:sz w:val="20"/>
                <w:szCs w:val="22"/>
                <w:lang w:val="en-US" w:eastAsia="en-US" w:bidi="ar-SA"/>
                <w:rFonts w:ascii="Times New Roman" w:hAnsi="Times New Roman" w:eastAsia="Times New Roman" w:cs="Times New Roman"/>
              </w:rPr>
              <w:t>TAM assumption</w:t>
            </w:r>
          </w:p>
        </w:tc>
        <w:tc>
          <w:tcPr>
            <w:tcW w:w="2974" w:type="dxa"/>
          </w:tcPr>
          <w:p>
            <w:pPr>
              <w:pStyle w:val="Normal"/>
            </w:pPr>
            <w:r>
              <w:rPr>
                <w:b/>
                <w:sz w:val="20"/>
                <w:szCs w:val="22"/>
                <w:lang w:val="en-US" w:eastAsia="en-US" w:bidi="ar-SA"/>
                <w:rFonts w:ascii="Times New Roman" w:hAnsi="Times New Roman" w:eastAsia="Times New Roman" w:cs="Times New Roman"/>
              </w:rPr>
              <w:t>Reality for elderly FRA users</w:t>
            </w:r>
          </w:p>
        </w:tc>
        <w:tc>
          <w:tcPr>
            <w:tcW w:w="2832" w:type="dxa"/>
          </w:tcPr>
          <w:p>
            <w:pPr>
              <w:pStyle w:val="Normal"/>
            </w:pPr>
            <w:r>
              <w:rPr>
                <w:b/>
                <w:sz w:val="20"/>
                <w:szCs w:val="22"/>
                <w:lang w:val="en-US" w:eastAsia="en-US" w:bidi="ar-SA"/>
                <w:rFonts w:ascii="Times New Roman" w:hAnsi="Times New Roman" w:eastAsia="Times New Roman" w:cs="Times New Roman"/>
              </w:rPr>
              <w:t>Consequence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Usefulness tied to job performance</w:t>
            </w:r>
          </w:p>
        </w:tc>
        <w:tc>
          <w:tcPr>
            <w:tcW w:w="2974" w:type="dxa"/>
          </w:tcPr>
          <w:p>
            <w:pPr>
              <w:pStyle w:val="Normal"/>
            </w:pPr>
            <w:r>
              <w:rPr>
                <w:sz w:val="20"/>
                <w:szCs w:val="22"/>
                <w:lang w:val="en-US" w:eastAsia="en-US" w:bidi="ar-SA"/>
                <w:rFonts w:ascii="Times New Roman" w:hAnsi="Times New Roman" w:eastAsia="Times New Roman" w:cs="Times New Roman"/>
              </w:rPr>
              <w:t>Users are retired</w:t>
            </w:r>
          </w:p>
        </w:tc>
        <w:tc>
          <w:tcPr>
            <w:tcW w:w="2832" w:type="dxa"/>
          </w:tcPr>
          <w:p>
            <w:pPr>
              <w:pStyle w:val="Normal"/>
            </w:pPr>
            <w:r>
              <w:rPr>
                <w:sz w:val="20"/>
                <w:szCs w:val="22"/>
                <w:lang w:val="en-US" w:eastAsia="en-US" w:bidi="ar-SA"/>
                <w:rFonts w:ascii="Times New Roman" w:hAnsi="Times New Roman" w:eastAsia="Times New Roman" w:cs="Times New Roman"/>
              </w:rPr>
              <w:t>PU needs redefining</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Positive perceptions predict adoption</w:t>
            </w:r>
          </w:p>
        </w:tc>
        <w:tc>
          <w:tcPr>
            <w:tcW w:w="2974" w:type="dxa"/>
          </w:tcPr>
          <w:p>
            <w:pPr>
              <w:pStyle w:val="Normal"/>
            </w:pPr>
            <w:r>
              <w:rPr>
                <w:szCs w:val="22"/>
                <w:lang w:val="en-US" w:eastAsia="en-US" w:bidi="ar-SA"/>
                <w:rFonts w:ascii="Times New Roman" w:hAnsi="Times New Roman" w:eastAsia="Times New Roman" w:cs="Times New Roman"/>
                <w:sz w:val="24"/>
              </w:rPr>
              <w:t>Reported favourable beliefs coexisted with low prior use</w:t>
            </w:r>
          </w:p>
        </w:tc>
        <w:tc>
          <w:tcPr>
            <w:tcW w:w="2832" w:type="dxa"/>
          </w:tcPr>
          <w:p>
            <w:pPr>
              <w:pStyle w:val="Normal"/>
            </w:pPr>
            <w:r>
              <w:rPr>
                <w:szCs w:val="22"/>
                <w:lang w:val="en-US" w:eastAsia="en-US" w:bidi="ar-SA"/>
                <w:rFonts w:ascii="Times New Roman" w:hAnsi="Times New Roman" w:eastAsia="Times New Roman" w:cs="Times New Roman"/>
                <w:sz w:val="24"/>
              </w:rPr>
              <w:t>Beliefs alone did not account for observed use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Negative experience reduces acceptance gradually</w:t>
            </w:r>
          </w:p>
        </w:tc>
        <w:tc>
          <w:tcPr>
            <w:tcW w:w="2974" w:type="dxa"/>
          </w:tcPr>
          <w:p>
            <w:pPr>
              <w:pStyle w:val="Normal"/>
            </w:pPr>
            <w:r>
              <w:rPr>
                <w:szCs w:val="22"/>
                <w:lang w:val="en-US" w:eastAsia="en-US" w:bidi="ar-SA"/>
                <w:rFonts w:ascii="Times New Roman" w:hAnsi="Times New Roman" w:eastAsia="Times New Roman" w:cs="Times New Roman"/>
                <w:sz w:val="24"/>
              </w:rPr>
              <w:t>Reported/observed non-return could occur abruptly within the study window</w:t>
            </w:r>
          </w:p>
        </w:tc>
        <w:tc>
          <w:tcPr>
            <w:tcW w:w="2832" w:type="dxa"/>
          </w:tcPr>
          <w:p>
            <w:pPr>
              <w:pStyle w:val="Normal"/>
            </w:pPr>
            <w:r>
              <w:rPr>
                <w:szCs w:val="22"/>
                <w:lang w:val="en-US" w:eastAsia="en-US" w:bidi="ar-SA"/>
                <w:rFonts w:ascii="Times New Roman" w:hAnsi="Times New Roman" w:eastAsia="Times New Roman" w:cs="Times New Roman"/>
                <w:sz w:val="24"/>
              </w:rPr>
              <w:t>Standard models do not explicitly represent event-triggered non-return</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No construct for failure response</w:t>
            </w:r>
          </w:p>
        </w:tc>
        <w:tc>
          <w:tcPr>
            <w:tcW w:w="2974" w:type="dxa"/>
          </w:tcPr>
          <w:p>
            <w:pPr>
              <w:pStyle w:val="Normal"/>
            </w:pPr>
            <w:r>
              <w:rPr>
                <w:szCs w:val="22"/>
                <w:lang w:val="en-US" w:eastAsia="en-US" w:bidi="ar-SA"/>
                <w:rFonts w:ascii="Times New Roman" w:hAnsi="Times New Roman" w:eastAsia="Times New Roman" w:cs="Times New Roman"/>
                <w:sz w:val="24"/>
              </w:rPr>
              <w:t>First failure was strongly associated with observed dropout in Stage 2</w:t>
            </w:r>
          </w:p>
        </w:tc>
        <w:tc>
          <w:tcPr>
            <w:tcW w:w="2832" w:type="dxa"/>
          </w:tcPr>
          <w:p>
            <w:pPr>
              <w:pStyle w:val="Normal"/>
            </w:pPr>
            <w:r>
              <w:rPr>
                <w:szCs w:val="22"/>
                <w:lang w:val="en-US" w:eastAsia="en-US" w:bidi="ar-SA"/>
                <w:rFonts w:ascii="Times New Roman" w:hAnsi="Times New Roman" w:eastAsia="Times New Roman" w:cs="Times New Roman"/>
                <w:sz w:val="24"/>
              </w:rPr>
              <w:t>Requires a post-contact, time-varying account</w:t>
            </w:r>
          </w:p>
        </w:tc>
      </w:tr>
    </w:tbl>
    <w:p>
      <w:pPr>
        <w:pStyle w:val="Normal"/>
        <w:spacing w:after="40"/>
      </w:pPr>
    </w:p>
    <w:p>
      <w:pPr>
        <w:pStyle w:val="Heading2"/>
      </w:pPr>
      <w:bookmarkStart w:id="60" w:name="_Toc23202455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trPr>
          <w:jc w:val="center"/>
        </w:trPr>
        <w:tc>
          <w:tcPr>
            <w:tcW w:w="2405" w:type="dxa"/>
          </w:tcPr>
          <w:p>
            <w:pPr>
              <w:pStyle w:val="Normal"/>
            </w:pPr>
            <w:r>
              <w:rPr>
                <w:b/>
                <w:sz w:val="20"/>
                <w:szCs w:val="22"/>
                <w:lang w:val="en-US" w:eastAsia="en-US" w:bidi="ar-SA"/>
                <w:rFonts w:ascii="Times New Roman" w:hAnsi="Times New Roman" w:eastAsia="Times New Roman" w:cs="Times New Roman"/>
              </w:rPr>
              <w:t>Octalysis drive</w:t>
            </w:r>
          </w:p>
        </w:tc>
        <w:tc>
          <w:tcPr>
            <w:tcW w:w="2977" w:type="dxa"/>
          </w:tcPr>
          <w:p>
            <w:pPr>
              <w:pStyle w:val="Normal"/>
            </w:pPr>
            <w:r>
              <w:rPr>
                <w:b/>
                <w:sz w:val="20"/>
                <w:szCs w:val="22"/>
                <w:lang w:val="en-US" w:eastAsia="en-US" w:bidi="ar-SA"/>
                <w:rFonts w:ascii="Times New Roman" w:hAnsi="Times New Roman" w:eastAsia="Times New Roman" w:cs="Times New Roman"/>
              </w:rPr>
              <w:t>Standard assumption</w:t>
            </w:r>
          </w:p>
        </w:tc>
        <w:tc>
          <w:tcPr>
            <w:tcW w:w="3113" w:type="dxa"/>
          </w:tcPr>
          <w:p>
            <w:pPr>
              <w:pStyle w:val="Normal"/>
            </w:pPr>
            <w:r>
              <w:rPr>
                <w:szCs w:val="22"/>
                <w:lang w:val="en-US" w:eastAsia="en-US" w:bidi="ar-SA"/>
                <w:rFonts w:ascii="Times New Roman" w:hAnsi="Times New Roman" w:eastAsia="Times New Roman" w:cs="Times New Roman"/>
                <w:sz w:val="24"/>
              </w:rPr>
              <w:t>Context-sensitive possibility in older clinical users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D2 Accomplishment</w:t>
            </w:r>
          </w:p>
        </w:tc>
        <w:tc>
          <w:tcPr>
            <w:tcW w:w="2977" w:type="dxa"/>
          </w:tcPr>
          <w:p>
            <w:pPr>
              <w:pStyle w:val="Normal"/>
            </w:pPr>
            <w:r>
              <w:rPr>
                <w:sz w:val="20"/>
                <w:szCs w:val="22"/>
                <w:lang w:val="en-US" w:eastAsia="en-US" w:bidi="ar-SA"/>
                <w:rFonts w:ascii="Times New Roman" w:hAnsi="Times New Roman" w:eastAsia="Times New Roman" w:cs="Times New Roman"/>
              </w:rPr>
              <w:t>Achievement challenges motivate</w:t>
            </w:r>
          </w:p>
        </w:tc>
        <w:tc>
          <w:tcPr>
            <w:tcW w:w="3113" w:type="dxa"/>
          </w:tcPr>
          <w:p>
            <w:pPr>
              <w:pStyle w:val="Normal"/>
            </w:pPr>
            <w:r>
              <w:rPr>
                <w:sz w:val="20"/>
                <w:szCs w:val="22"/>
                <w:lang w:val="en-US" w:eastAsia="en-US" w:bidi="ar-SA"/>
                <w:rFonts w:ascii="Times New Roman" w:hAnsi="Times New Roman" w:eastAsia="Times New Roman" w:cs="Times New Roman"/>
              </w:rPr>
              <w:t>May be undermined by failure</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D5 Social Influence</w:t>
            </w:r>
          </w:p>
        </w:tc>
        <w:tc>
          <w:tcPr>
            <w:tcW w:w="2977" w:type="dxa"/>
          </w:tcPr>
          <w:p>
            <w:pPr>
              <w:pStyle w:val="Normal"/>
            </w:pPr>
            <w:r>
              <w:rPr>
                <w:sz w:val="20"/>
                <w:szCs w:val="22"/>
                <w:lang w:val="en-US" w:eastAsia="en-US" w:bidi="ar-SA"/>
                <w:rFonts w:ascii="Times New Roman" w:hAnsi="Times New Roman" w:eastAsia="Times New Roman" w:cs="Times New Roman"/>
              </w:rPr>
              <w:t>Comparison drives engagement</w:t>
            </w:r>
          </w:p>
        </w:tc>
        <w:tc>
          <w:tcPr>
            <w:tcW w:w="3113"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D8 Loss and Avoidance</w:t>
            </w:r>
          </w:p>
        </w:tc>
        <w:tc>
          <w:tcPr>
            <w:tcW w:w="2977" w:type="dxa"/>
          </w:tcPr>
          <w:p>
            <w:pPr>
              <w:pStyle w:val="Normal"/>
            </w:pPr>
            <w:r>
              <w:rPr>
                <w:sz w:val="20"/>
                <w:szCs w:val="22"/>
                <w:lang w:val="en-US" w:eastAsia="en-US" w:bidi="ar-SA"/>
                <w:rFonts w:ascii="Times New Roman" w:hAnsi="Times New Roman" w:eastAsia="Times New Roman" w:cs="Times New Roman"/>
              </w:rPr>
              <w:t>Fear of losing progress sustains play</w:t>
            </w:r>
          </w:p>
        </w:tc>
        <w:tc>
          <w:tcPr>
            <w:tcW w:w="3113"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pPr>
        <w:pStyle w:val="Heading2"/>
      </w:pPr>
      <w:bookmarkStart w:id="65" w:name="_Toc23202456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2"/>
          <w:szCs w:val="28"/>
          <w:i/>
        </w:rPr>
        <w:t>Chapter 5 Stage 2 — Action Research with Gamified FRA</w:t>
      </w:r>
      <w:bookmarkEnd w:id="66"/>
    </w:p>
    <w:p>
      <w:pPr>
        <w:pStyle w:val="Heading2"/>
      </w:pPr>
      <w:bookmarkStart w:id="67" w:name="_Toc232024564"/>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pPr>
      <w:r>
        <w:rPr>
          <w:szCs w:val="22"/>
          <w:lang w:val="en-US" w:eastAsia="en-US" w:bidi="ar-SA"/>
          <w:rFonts w:ascii="Times New Roman" w:hAnsi="Times New Roman" w:eastAsia="Times New Roman" w:cs="Times New Roman"/>
          <w:sz w:val="24"/>
        </w:rP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 H2 and H4 are the directional hypotheses that structure that test.</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objective-score-improvement/non-return paradox).</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pPr>
        <w:pStyle w:val="Heading2"/>
      </w:pPr>
      <w:bookmarkStart w:id="68" w:name="_Toc23202456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pPr>
        <w:pStyle w:val="Heading2"/>
      </w:pPr>
      <w:bookmarkStart w:id="69" w:name="_Toc23202456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pPr>
        <w:pStyle w:val="Normal"/>
        <w:keepNext/>
        <w:spacing w:before="160" w:after="40"/>
        <w:jc w:val="center"/>
      </w:pPr>
      <w:r>
        <w:drawing>
          <wp:inlin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w:t>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trPr>
          <w:jc w:val="center"/>
        </w:trPr>
        <w:tc>
          <w:tcPr>
            <w:tcW w:w="1271" w:type="dxa"/>
          </w:tcPr>
          <w:p>
            <w:pPr>
              <w:pStyle w:val="Normal"/>
            </w:pPr>
            <w:r>
              <w:rPr>
                <w:b/>
                <w:sz w:val="20"/>
                <w:szCs w:val="22"/>
                <w:lang w:val="en-US" w:eastAsia="en-US" w:bidi="ar-SA"/>
                <w:rFonts w:ascii="Times New Roman" w:hAnsi="Times New Roman" w:eastAsia="Times New Roman" w:cs="Times New Roman"/>
              </w:rPr>
              <w:t>Category</w:t>
            </w:r>
          </w:p>
        </w:tc>
        <w:tc>
          <w:tcPr>
            <w:tcW w:w="2268" w:type="dxa"/>
          </w:tcPr>
          <w:p>
            <w:pPr>
              <w:pStyle w:val="Normal"/>
            </w:pPr>
            <w:r>
              <w:rPr>
                <w:b/>
                <w:sz w:val="20"/>
                <w:szCs w:val="22"/>
                <w:lang w:val="en-US" w:eastAsia="en-US" w:bidi="ar-SA"/>
                <w:rFonts w:ascii="Times New Roman" w:hAnsi="Times New Roman" w:eastAsia="Times New Roman" w:cs="Times New Roman"/>
              </w:rPr>
              <w:t>Parameter</w:t>
            </w:r>
          </w:p>
        </w:tc>
        <w:tc>
          <w:tcPr>
            <w:tcW w:w="2126" w:type="dxa"/>
          </w:tcPr>
          <w:p>
            <w:pPr>
              <w:pStyle w:val="Normal"/>
            </w:pPr>
            <w:r>
              <w:rPr>
                <w:b/>
                <w:sz w:val="20"/>
                <w:szCs w:val="22"/>
                <w:lang w:val="en-US" w:eastAsia="en-US" w:bidi="ar-SA"/>
                <w:rFonts w:ascii="Times New Roman" w:hAnsi="Times New Roman" w:eastAsia="Times New Roman" w:cs="Times New Roman"/>
              </w:rPr>
              <w:t>Value</w:t>
            </w:r>
          </w:p>
        </w:tc>
        <w:tc>
          <w:tcPr>
            <w:tcW w:w="2830" w:type="dxa"/>
          </w:tcPr>
          <w:p>
            <w:pPr>
              <w:pStyle w:val="Normal"/>
            </w:pPr>
            <w:r>
              <w:rPr>
                <w:b/>
                <w:sz w:val="20"/>
                <w:szCs w:val="22"/>
                <w:lang w:val="en-US" w:eastAsia="en-US" w:bidi="ar-SA"/>
                <w:rFonts w:ascii="Times New Roman" w:hAnsi="Times New Roman" w:eastAsia="Times New Roman" w:cs="Times New Roman"/>
              </w:rPr>
              <w:t>Role in FRA-game integration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Slope</w:t>
            </w:r>
          </w:p>
        </w:tc>
        <w:tc>
          <w:tcPr>
            <w:tcW w:w="2268" w:type="dxa"/>
          </w:tcPr>
          <w:p>
            <w:pPr>
              <w:pStyle w:val="Normal"/>
            </w:pPr>
            <w:r>
              <w:rPr>
                <w:sz w:val="20"/>
                <w:szCs w:val="22"/>
                <w:lang w:val="en-US" w:eastAsia="en-US" w:bidi="ar-SA"/>
                <w:rFonts w:ascii="Times New Roman" w:hAnsi="Times New Roman" w:eastAsia="Times New Roman" w:cs="Times New Roman"/>
              </w:rPr>
              <w:t>slopeWidth / Length / Angle</w:t>
            </w:r>
          </w:p>
        </w:tc>
        <w:tc>
          <w:tcPr>
            <w:tcW w:w="2126" w:type="dxa"/>
          </w:tcPr>
          <w:p>
            <w:pPr>
              <w:pStyle w:val="Normal"/>
            </w:pPr>
            <w:r>
              <w:rPr>
                <w:sz w:val="20"/>
                <w:szCs w:val="22"/>
                <w:lang w:val="en-US" w:eastAsia="en-US" w:bidi="ar-SA"/>
                <w:rFonts w:ascii="Times New Roman" w:hAnsi="Times New Roman" w:eastAsia="Times New Roman" w:cs="Times New Roman"/>
              </w:rPr>
              <w:t>30 m / 2000 m / 12°</w:t>
            </w:r>
          </w:p>
        </w:tc>
        <w:tc>
          <w:tcPr>
            <w:tcW w:w="2830"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Player</w:t>
            </w:r>
          </w:p>
        </w:tc>
        <w:tc>
          <w:tcPr>
            <w:tcW w:w="2268"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2126" w:type="dxa"/>
          </w:tcPr>
          <w:p>
            <w:pPr>
              <w:pStyle w:val="Normal"/>
            </w:pPr>
            <w:r>
              <w:rPr>
                <w:sz w:val="20"/>
                <w:szCs w:val="22"/>
                <w:lang w:val="en-US" w:eastAsia="en-US" w:bidi="ar-SA"/>
                <w:rFonts w:ascii="Times New Roman" w:hAnsi="Times New Roman" w:eastAsia="Times New Roman" w:cs="Times New Roman"/>
              </w:rPr>
              <w:t>8 / 12 / 30 m/s</w:t>
            </w:r>
          </w:p>
        </w:tc>
        <w:tc>
          <w:tcPr>
            <w:tcW w:w="2830"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Balance</w:t>
            </w:r>
          </w:p>
        </w:tc>
        <w:tc>
          <w:tcPr>
            <w:tcW w:w="2268"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2126"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2830"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Obstacles</w:t>
            </w:r>
          </w:p>
        </w:tc>
        <w:tc>
          <w:tcPr>
            <w:tcW w:w="2268"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2126" w:type="dxa"/>
          </w:tcPr>
          <w:p>
            <w:pPr>
              <w:pStyle w:val="Normal"/>
            </w:pPr>
            <w:r>
              <w:rPr>
                <w:sz w:val="20"/>
                <w:szCs w:val="22"/>
                <w:lang w:val="en-US" w:eastAsia="en-US" w:bidi="ar-SA"/>
                <w:rFonts w:ascii="Times New Roman" w:hAnsi="Times New Roman" w:eastAsia="Times New Roman" w:cs="Times New Roman"/>
              </w:rPr>
              <w:t>0.4/m; 120 m / 30 m; 0.4–1.0 m</w:t>
            </w:r>
          </w:p>
        </w:tc>
        <w:tc>
          <w:tcPr>
            <w:tcW w:w="2830"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Coins</w:t>
            </w:r>
          </w:p>
        </w:tc>
        <w:tc>
          <w:tcPr>
            <w:tcW w:w="2268"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2126" w:type="dxa"/>
          </w:tcPr>
          <w:p>
            <w:pPr>
              <w:pStyle w:val="Normal"/>
            </w:pPr>
            <w:r>
              <w:rPr>
                <w:sz w:val="20"/>
                <w:szCs w:val="22"/>
                <w:lang w:val="en-US" w:eastAsia="en-US" w:bidi="ar-SA"/>
                <w:rFonts w:ascii="Times New Roman" w:hAnsi="Times New Roman" w:eastAsia="Times New Roman" w:cs="Times New Roman"/>
              </w:rPr>
              <w:t>0.3/m; 10 pts; 3 %</w:t>
            </w:r>
          </w:p>
        </w:tc>
        <w:tc>
          <w:tcPr>
            <w:tcW w:w="2830"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Lives</w:t>
            </w:r>
          </w:p>
        </w:tc>
        <w:tc>
          <w:tcPr>
            <w:tcW w:w="2268"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2126"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2830"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Difficulty</w:t>
            </w:r>
          </w:p>
        </w:tc>
        <w:tc>
          <w:tcPr>
            <w:tcW w:w="2268"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2126" w:type="dxa"/>
          </w:tcPr>
          <w:p>
            <w:pPr>
              <w:pStyle w:val="Normal"/>
            </w:pPr>
            <w:r>
              <w:rPr>
                <w:sz w:val="20"/>
                <w:szCs w:val="22"/>
                <w:lang w:val="en-US" w:eastAsia="en-US" w:bidi="ar-SA"/>
                <w:rFonts w:ascii="Times New Roman" w:hAnsi="Times New Roman" w:eastAsia="Times New Roman" w:cs="Times New Roman"/>
              </w:rPr>
              <w:t>\+0.15 / 200 m; 0.42–1.43</w:t>
            </w:r>
          </w:p>
        </w:tc>
        <w:tc>
          <w:tcPr>
            <w:tcW w:w="2830" w:type="dxa"/>
          </w:tcPr>
          <w:p>
            <w:pPr>
              <w:pStyle w:val="Normal"/>
            </w:pPr>
            <w:r>
              <w:rPr>
                <w:sz w:val="20"/>
                <w:szCs w:val="22"/>
                <w:lang w:val="en-US" w:eastAsia="en-US" w:bidi="ar-SA"/>
                <w:rFonts w:ascii="Times New Roman" w:hAnsi="Times New Roman" w:eastAsia="Times New Roman" w:cs="Times New Roman"/>
              </w:rPr>
              <w:t>Adaptive layer (L2) that protects the flow band for FRA-aligned cohorts.</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pPr>
        <w:pStyle w:val="Heading2"/>
      </w:pPr>
      <w:bookmarkStart w:id="71" w:name="_Toc232024567"/>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pPr>
        <w:pStyle w:val="Heading3"/>
      </w:pPr>
      <w:bookmarkStart w:id="73" w:name="_Toc2320245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jc w:val="center"/>
      </w:pPr>
      <w:bookmarkStart w:id="75" w:name="_Toc232024682"/>
      <w:r>
        <w:rPr>
          <w:sz w:val="24"/>
          <w:szCs w:val="22"/>
          <w:lang w:val="en-US" w:eastAsia="en-US" w:bidi="ar-SA"/>
          <w:rFonts w:ascii="Times New Roman" w:hAnsi="Times New Roman" w:eastAsia="Times New Roman" w:cs="Times New Roman"/>
          <w:i/>
          <w:b/>
        </w:rPr>
        <w:t>Figure 5.1. Skiing game on-screen display. The skier is controlled through Centre-of-Pressure shifts on the InBody panel; trees and rocks act as obstacles, gold coins reward forward play, and a level-and-score display is anchored to the top of the screen.</w:t>
      </w:r>
      <w:bookmarkEnd w:id="75"/>
    </w:p>
    <w:p>
      <w:pPr>
        <w:pStyle w:val="Normal"/>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G.8). Photography of study participants was not permitted under the residential facility's privacy rules, so no participant play imagery exists; this development-phase demonstration stands in its place.</w:t>
      </w:r>
    </w:p>
    <w:p>
      <w:pPr>
        <w:pStyle w:val="Normal"/>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5.1B. The deployed game artefact across difficulty levels 1–5. Obstacle spawn rate scales with the difficulty multiplier (×0.40 to ×1.40), stones become more frequent relative to trees, and boulder pairs appear from Level 3 upward; the skier is steered by lateral weight shift and coins reward forward play. Screenshots captured from the programme's archived game build — the successor build in the same design lineage as the Stage-2 deployment.</w:t>
      </w:r>
    </w:p>
    <w:p>
      <w:pPr>
        <w:pStyle w:val="Heading3"/>
      </w:pPr>
      <w:bookmarkStart w:id="76" w:name="_Toc2320245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The dual-purpose mechanic links Layer 0 (sensor input) and Layer 4 (clinical output) through the gameplay layers without exposing clinical numbers to the user during play.</w:t>
      </w:r>
      <w:bookmarkEnd w:id="77"/>
    </w:p>
    <w:p>
      <w:pPr>
        <w:pStyle w:val="Heading3"/>
      </w:pPr>
      <w:bookmarkStart w:id="78" w:name="_Toc2320245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pPr>
        <w:pStyle w:val="Heading3"/>
      </w:pPr>
      <w:bookmarkStart w:id="79" w:name="_Toc23202457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trPr>
          <w:jc w:val="center"/>
        </w:trPr>
        <w:tc>
          <w:tcPr>
            <w:tcW w:w="1129" w:type="dxa"/>
          </w:tcPr>
          <w:p>
            <w:pPr>
              <w:pStyle w:val="Normal"/>
            </w:pPr>
            <w:r>
              <w:rPr>
                <w:b/>
                <w:sz w:val="20"/>
                <w:szCs w:val="22"/>
                <w:lang w:val="en-US" w:eastAsia="en-US" w:bidi="ar-SA"/>
                <w:rFonts w:ascii="Times New Roman" w:hAnsi="Times New Roman" w:eastAsia="Times New Roman" w:cs="Times New Roman"/>
              </w:rPr>
              <w:t>Dimension</w:t>
            </w:r>
          </w:p>
        </w:tc>
        <w:tc>
          <w:tcPr>
            <w:tcW w:w="7366" w:type="dxa"/>
          </w:tcPr>
          <w:p>
            <w:pPr>
              <w:pStyle w:val="Normal"/>
            </w:pPr>
            <w:r>
              <w:rPr>
                <w:b/>
                <w:sz w:val="20"/>
                <w:szCs w:val="22"/>
                <w:lang w:val="en-US" w:eastAsia="en-US" w:bidi="ar-SA"/>
                <w:rFonts w:ascii="Times New Roman" w:hAnsi="Times New Roman" w:eastAsia="Times New Roman" w:cs="Times New Roman"/>
              </w:rPr>
              <w:t>Fields</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User</w:t>
            </w:r>
          </w:p>
        </w:tc>
        <w:tc>
          <w:tcPr>
            <w:tcW w:w="7366"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Game</w:t>
            </w:r>
          </w:p>
        </w:tc>
        <w:tc>
          <w:tcPr>
            <w:tcW w:w="7366"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Result</w:t>
            </w:r>
          </w:p>
        </w:tc>
        <w:tc>
          <w:tcPr>
            <w:tcW w:w="7366"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5.3.8 Why a Skiing Game?</w:t>
      </w:r>
      <w:bookmarkEnd w:id="82"/>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pPr>
        <w:pStyle w:val="Heading3"/>
      </w:pPr>
      <w:bookmarkStart w:id="83" w:name="_Toc2320245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pStyle w:val="Normal"/>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G.8),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w:t>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t>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t>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(§5.2A); the three-or-fewer-cycles threshold defines the low-engagement group referenced in H1 (§5.1).</w:t>
      </w:r>
    </w:p>
    <w:p>
      <w:pPr>
        <w:pStyle w:val="Normal"/>
      </w:pPr>
      <w:r>
        <w:rPr>
          <w:szCs w:val="22"/>
          <w:lang w:val="en-US" w:eastAsia="en-US" w:bidi="ar-SA"/>
          <w:rFonts w:ascii="Times New Roman" w:hAnsi="Times New Roman" w:eastAsia="Times New Roman" w:cs="Times New Roman"/>
          <w:sz w:val="24"/>
        </w:rP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pPr>
        <w:pStyle w:val="FigureCaption"/>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trPr>
          <w:jc w:val="center"/>
        </w:trPr>
        <w:tc>
          <w:tcPr>
            <w:tcW w:w="4248" w:type="dxa"/>
          </w:tcPr>
          <w:p>
            <w:pPr>
              <w:pStyle w:val="Normal"/>
            </w:pPr>
            <w:r>
              <w:rPr>
                <w:b/>
                <w:sz w:val="28"/>
                <w:szCs w:val="26"/>
                <w:lang w:val="en-US" w:eastAsia="en-US" w:bidi="ar-SA"/>
                <w:rFonts w:ascii="Times New Roman" w:hAnsi="Times New Roman" w:eastAsia="Times New Roman" w:cs="Times New Roman"/>
              </w:rPr>
              <w:t>Engagement metric</w:t>
            </w:r>
          </w:p>
        </w:tc>
        <w:tc>
          <w:tcPr>
            <w:tcW w:w="4247" w:type="dxa"/>
          </w:tcPr>
          <w:p>
            <w:pPr>
              <w:pStyle w:val="Normal"/>
            </w:pPr>
            <w:r>
              <w:rPr>
                <w:b/>
                <w:sz w:val="28"/>
                <w:szCs w:val="26"/>
                <w:lang w:val="en-US" w:eastAsia="en-US" w:bidi="ar-SA"/>
                <w:rFonts w:ascii="Times New Roman" w:hAnsi="Times New Roman" w:eastAsia="Times New Roman" w:cs="Times New Roman"/>
              </w:rPr>
              <w:t>Value</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Low engagement (≤ 3 cycles)</w:t>
            </w:r>
          </w:p>
        </w:tc>
        <w:tc>
          <w:tcPr>
            <w:tcW w:w="4247" w:type="dxa"/>
          </w:tcPr>
          <w:p>
            <w:pPr>
              <w:pStyle w:val="Normal"/>
            </w:pPr>
            <w:r>
              <w:rPr>
                <w:sz w:val="20"/>
                <w:szCs w:val="22"/>
                <w:lang w:val="en-US" w:eastAsia="en-US" w:bidi="ar-SA"/>
                <w:rFonts w:ascii="Times New Roman" w:hAnsi="Times New Roman" w:eastAsia="Times New Roman" w:cs="Times New Roman"/>
              </w:rPr>
              <w:t>21/30 (70%)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Sustained (≥ 4 cycles)</w:t>
            </w:r>
          </w:p>
        </w:tc>
        <w:tc>
          <w:tcPr>
            <w:tcW w:w="4247" w:type="dxa"/>
          </w:tcPr>
          <w:p>
            <w:pPr>
              <w:pStyle w:val="Normal"/>
            </w:pPr>
            <w:r>
              <w:rPr>
                <w:sz w:val="20"/>
                <w:szCs w:val="22"/>
                <w:lang w:val="en-US" w:eastAsia="en-US" w:bidi="ar-SA"/>
                <w:rFonts w:ascii="Times New Roman" w:hAnsi="Times New Roman" w:eastAsia="Times New Roman" w:cs="Times New Roman"/>
              </w:rPr>
              <w:t>9/30 (30%)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Single-session exits</w:t>
            </w:r>
          </w:p>
        </w:tc>
        <w:tc>
          <w:tcPr>
            <w:tcW w:w="4247" w:type="dxa"/>
          </w:tcPr>
          <w:p>
            <w:pPr>
              <w:pStyle w:val="Normal"/>
            </w:pPr>
            <w:r>
              <w:rPr>
                <w:sz w:val="20"/>
                <w:szCs w:val="22"/>
                <w:lang w:val="en-US" w:eastAsia="en-US" w:bidi="ar-SA"/>
                <w:rFonts w:ascii="Times New Roman" w:hAnsi="Times New Roman" w:eastAsia="Times New Roman" w:cs="Times New Roman"/>
              </w:rPr>
              <w:t>8/30 (27%)</w:t>
            </w:r>
          </w:p>
        </w:tc>
      </w:tr>
      <w:tr>
        <w:trPr>
          <w:jc w:val="center"/>
        </w:trPr>
        <w:tc>
          <w:tcPr>
            <w:tcW w:w="4248"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4247"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pPr>
        <w:pStyle w:val="Normal"/>
      </w:pPr>
      <w:r>
        <w:rPr>
          <w:szCs w:val="22"/>
          <w:lang w:val="en-US" w:eastAsia="en-US" w:bidi="ar-SA"/>
          <w:rFonts w:ascii="Times New Roman" w:hAnsi="Times New Roman" w:eastAsia="Times New Roman" w:cs="Times New Roman"/>
          <w:sz w:val="24"/>
        </w:rP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pPr>
        <w:jc w:val="center"/>
      </w:pPr>
      <w:bookmarkStart w:id="88" w:name="_Toc232024700"/>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bookmarkEnd w:id="88"/>
    </w:p>
    <w:p w14:paraId="2E16D01A" w14:textId="77777777" w:rsidR="00EE7E37" w:rsidRDefault="00000000">
      <w:pPr>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ns8:shadowObscured/>
                      </a:ext>
                    </a:extLs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5.5A Translating the Findings into Design Priorities: A QFD Pipeline</w:t>
      </w:r>
    </w:p>
    <w:p>
      <w:pPr>
        <w:pStyle w:val="Normal"/>
      </w:pPr>
      <w:r>
        <w:rPr>
          <w:szCs w:val="22"/>
          <w:lang w:val="en-US" w:eastAsia="en-US" w:bidi="ar-SA"/>
          <w:rFonts w:ascii="Times New Roman" w:hAnsi="Times New Roman" w:eastAsia="Times New Roman" w:cs="Times New Roman"/>
          <w:sz w:val="24"/>
        </w:rP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pPr>
        <w:pStyle w:val="Normal"/>
      </w:pPr>
      <w:r>
        <w:rPr>
          <w:szCs w:val="22"/>
          <w:lang w:val="en-US" w:eastAsia="en-US" w:bidi="ar-SA"/>
          <w:rFonts w:ascii="Times New Roman" w:hAnsi="Times New Roman" w:eastAsia="Times New Roman" w:cs="Times New Roman"/>
          <w:sz w:val="24"/>
        </w:rP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FigureCaption"/>
      </w:pPr>
      <w:r>
        <w:rPr>
          <w:sz w:val="24"/>
          <w:szCs w:val="22"/>
          <w:lang w:val="en-US" w:eastAsia="en-US" w:bidi="ar-SA"/>
          <w:rFonts w:ascii="Times New Roman" w:hAnsi="Times New Roman" w:eastAsia="Times New Roman" w:cs="Times New Roman"/>
          <w:i/>
          <w:b/>
        </w:rP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pPr>
              <w:pStyle w:val="Normal"/>
            </w:pPr>
            <w:r>
              <w:rPr>
                <w:b/>
                <w:sz w:val="28"/>
                <w:szCs w:val="26"/>
                <w:lang w:val="en-US" w:eastAsia="en-US" w:bidi="ar-SA"/>
                <w:rFonts w:ascii="Times New Roman" w:hAnsi="Times New Roman" w:eastAsia="Times New Roman" w:cs="Times New Roman"/>
              </w:rPr>
              <w:t>User need (voice of the user)</w:t>
            </w:r>
          </w:p>
        </w:tc>
        <w:tc>
          <w:tcPr>
            <w:tcW w:type="dxa" w:w="1215"/>
          </w:tcPr>
          <w:p>
            <w:pPr>
              <w:pStyle w:val="Normal"/>
            </w:pPr>
            <w:r>
              <w:rPr>
                <w:b/>
                <w:sz w:val="28"/>
                <w:szCs w:val="26"/>
                <w:lang w:val="en-US" w:eastAsia="en-US" w:bidi="ar-SA"/>
                <w:rFonts w:ascii="Times New Roman" w:hAnsi="Times New Roman" w:eastAsia="Times New Roman" w:cs="Times New Roman"/>
              </w:rPr>
              <w:t>Evidence from the data</w:t>
            </w:r>
          </w:p>
        </w:tc>
        <w:tc>
          <w:tcPr>
            <w:tcW w:type="dxa" w:w="1215"/>
          </w:tcPr>
          <w:p>
            <w:pPr>
              <w:pStyle w:val="Normal"/>
            </w:pPr>
            <w:r>
              <w:rPr>
                <w:b/>
                <w:sz w:val="28"/>
                <w:szCs w:val="26"/>
                <w:lang w:val="en-US" w:eastAsia="en-US" w:bidi="ar-SA"/>
                <w:rFonts w:ascii="Times New Roman" w:hAnsi="Times New Roman" w:eastAsia="Times New Roman" w:cs="Times New Roman"/>
              </w:rPr>
              <w:t>Construct</w:t>
            </w:r>
          </w:p>
        </w:tc>
        <w:tc>
          <w:tcPr>
            <w:tcW w:type="dxa" w:w="1215"/>
          </w:tcPr>
          <w:p>
            <w:pPr>
              <w:pStyle w:val="Normal"/>
            </w:pPr>
            <w:r>
              <w:rPr>
                <w:b/>
                <w:sz w:val="28"/>
                <w:szCs w:val="26"/>
                <w:lang w:val="en-US" w:eastAsia="en-US" w:bidi="ar-SA"/>
                <w:rFonts w:ascii="Times New Roman" w:hAnsi="Times New Roman" w:eastAsia="Times New Roman" w:cs="Times New Roman"/>
              </w:rPr>
              <w:t>Adaptive difficulty (L2)</w:t>
            </w:r>
          </w:p>
        </w:tc>
        <w:tc>
          <w:tcPr>
            <w:tcW w:type="dxa" w:w="1215"/>
          </w:tcPr>
          <w:p>
            <w:pPr>
              <w:pStyle w:val="Normal"/>
            </w:pPr>
            <w:r>
              <w:rPr>
                <w:b/>
                <w:sz w:val="28"/>
                <w:szCs w:val="26"/>
                <w:lang w:val="en-US" w:eastAsia="en-US" w:bidi="ar-SA"/>
                <w:rFonts w:ascii="Times New Roman" w:hAnsi="Times New Roman" w:eastAsia="Times New Roman" w:cs="Times New Roman"/>
              </w:rPr>
              <w:t>Loss-free states</w:t>
            </w:r>
          </w:p>
        </w:tc>
        <w:tc>
          <w:tcPr>
            <w:tcW w:type="dxa" w:w="1215"/>
          </w:tcPr>
          <w:p>
            <w:pPr>
              <w:pStyle w:val="Normal"/>
            </w:pPr>
            <w:r>
              <w:rPr>
                <w:b/>
                <w:sz w:val="28"/>
                <w:szCs w:val="26"/>
                <w:lang w:val="en-US" w:eastAsia="en-US" w:bidi="ar-SA"/>
                <w:rFonts w:ascii="Times New Roman" w:hAnsi="Times New Roman" w:eastAsia="Times New Roman" w:cs="Times New Roman"/>
              </w:rPr>
              <w:t>Trajectory display (L5)</w:t>
            </w:r>
          </w:p>
        </w:tc>
        <w:tc>
          <w:tcPr>
            <w:tcW w:type="dxa" w:w="1215"/>
          </w:tcPr>
          <w:p>
            <w:pPr>
              <w:pStyle w:val="Normal"/>
            </w:pPr>
            <w:r>
              <w:rPr>
                <w:b/>
                <w:sz w:val="28"/>
                <w:szCs w:val="26"/>
                <w:lang w:val="en-US" w:eastAsia="en-US" w:bidi="ar-SA"/>
                <w:rFonts w:ascii="Times New Roman" w:hAnsi="Times New Roman" w:eastAsia="Times New Roman" w:cs="Times New Roman"/>
              </w:rPr>
              <w:t>Coaching (L6)</w:t>
            </w:r>
          </w:p>
        </w:tc>
      </w:tr>
      <w:tr>
        <w:tc>
          <w:tcPr>
            <w:tcW w:type="dxa" w:w="1215"/>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1215"/>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1215"/>
          </w:tcPr>
          <w:p>
            <w:pPr>
              <w:pStyle w:val="Normal"/>
            </w:pPr>
            <w:r>
              <w:rPr>
                <w:sz w:val="20"/>
                <w:szCs w:val="22"/>
                <w:lang w:val="en-US" w:eastAsia="en-US" w:bidi="ar-SA"/>
                <w:rFonts w:ascii="Times New Roman" w:hAnsi="Times New Roman" w:eastAsia="Times New Roman" w:cs="Times New Roman"/>
              </w:rPr>
              <w:t>Flow / PEOU (TAM)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1215"/>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1215"/>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Visible personal progress</w:t>
            </w:r>
          </w:p>
        </w:tc>
        <w:tc>
          <w:tcPr>
            <w:tcW w:type="dxa" w:w="1215"/>
          </w:tcPr>
          <w:p>
            <w:pPr>
              <w:pStyle w:val="Normal"/>
            </w:pPr>
            <w:r>
              <w:rPr>
                <w:sz w:val="20"/>
                <w:szCs w:val="22"/>
                <w:lang w:val="en-US" w:eastAsia="en-US" w:bidi="ar-SA"/>
                <w:rFonts w:ascii="Times New Roman" w:hAnsi="Times New Roman" w:eastAsia="Times New Roman" w:cs="Times New Roman"/>
              </w:rPr>
              <w:t>Recorded index and self-report diverge (5/8 single-session positive change, 2/8 felt improvement)</w:t>
            </w:r>
          </w:p>
        </w:tc>
        <w:tc>
          <w:tcPr>
            <w:tcW w:type="dxa" w:w="1215"/>
          </w:tcPr>
          <w:p>
            <w:pPr>
              <w:pStyle w:val="Normal"/>
            </w:pPr>
            <w:r>
              <w:rPr>
                <w:sz w:val="20"/>
                <w:szCs w:val="22"/>
                <w:lang w:val="en-US" w:eastAsia="en-US" w:bidi="ar-SA"/>
                <w:rFonts w:ascii="Times New Roman" w:hAnsi="Times New Roman" w:eastAsia="Times New Roman" w:cs="Times New Roman"/>
              </w:rPr>
              <w:t>Competence (SDT) / D2</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1215"/>
          </w:tcPr>
          <w:p>
            <w:pPr>
              <w:pStyle w:val="Normal"/>
            </w:pPr>
            <w:r>
              <w:rPr>
                <w:sz w:val="20"/>
                <w:szCs w:val="22"/>
                <w:lang w:val="en-US" w:eastAsia="en-US" w:bidi="ar-SA"/>
                <w:rFonts w:ascii="Times New Roman" w:hAnsi="Times New Roman" w:eastAsia="Times New Roman" w:cs="Times New Roman"/>
              </w:rPr>
              <w:t>60.0% self-reported improvement; satisfaction associated with staying</w:t>
            </w:r>
          </w:p>
        </w:tc>
        <w:tc>
          <w:tcPr>
            <w:tcW w:type="dxa" w:w="1215"/>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1215"/>
          </w:tcPr>
          <w:p>
            <w:pPr>
              <w:pStyle w:val="Normal"/>
            </w:pPr>
            <w:r>
              <w:rPr>
                <w:sz w:val="20"/>
                <w:szCs w:val="22"/>
                <w:lang w:val="en-US" w:eastAsia="en-US" w:bidi="ar-SA"/>
                <w:rFonts w:ascii="Times New Roman" w:hAnsi="Times New Roman" w:eastAsia="Times New Roman" w:cs="Times New Roman"/>
              </w:rPr>
              <w:t>Coin loop sustained play in completers (≥4 cycles: 9/30)</w:t>
            </w:r>
          </w:p>
        </w:tc>
        <w:tc>
          <w:tcPr>
            <w:tcW w:type="dxa" w:w="1215"/>
          </w:tcPr>
          <w:p>
            <w:pPr>
              <w:pStyle w:val="Normal"/>
            </w:pPr>
            <w:r>
              <w:rPr>
                <w:sz w:val="20"/>
                <w:szCs w:val="22"/>
                <w:lang w:val="en-US" w:eastAsia="en-US" w:bidi="ar-SA"/>
                <w:rFonts w:ascii="Times New Roman" w:hAnsi="Times New Roman" w:eastAsia="Times New Roman" w:cs="Times New Roman"/>
              </w:rPr>
              <w:t>Learn-to-earn / D4</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r>
      <w:tr>
        <w:tc>
          <w:tcPr>
            <w:tcW w:type="dxa" w:w="1215"/>
          </w:tcPr>
          <w:p>
            <w:pPr>
              <w:pStyle w:val="Normal"/>
            </w:pPr>
            <w:r>
              <w:rPr>
                <w:sz w:val="20"/>
                <w:szCs w:val="22"/>
                <w:lang w:val="en-US" w:eastAsia="en-US" w:bidi="ar-SA"/>
                <w:rFonts w:ascii="Times New Roman" w:hAnsi="Times New Roman" w:eastAsia="Times New Roman" w:cs="Times New Roman"/>
              </w:rPr>
              <w:t>A reason to come back</w:t>
            </w:r>
          </w:p>
        </w:tc>
        <w:tc>
          <w:tcPr>
            <w:tcW w:type="dxa" w:w="1215"/>
          </w:tcPr>
          <w:p>
            <w:pPr>
              <w:pStyle w:val="Normal"/>
            </w:pPr>
            <w:r>
              <w:rPr>
                <w:sz w:val="20"/>
                <w:szCs w:val="22"/>
                <w:lang w:val="en-US" w:eastAsia="en-US" w:bidi="ar-SA"/>
                <w:rFonts w:ascii="Times New Roman" w:hAnsi="Times New Roman" w:eastAsia="Times New Roman" w:cs="Times New Roman"/>
              </w:rPr>
              <w:t>No observed return in Stage 2; Stage-3 decoupled cohort returned 15/23</w:t>
            </w:r>
          </w:p>
        </w:tc>
        <w:tc>
          <w:tcPr>
            <w:tcW w:type="dxa" w:w="1215"/>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bl>
    <w:p>
      <w:pPr>
        <w:pStyle w:val="Normal"/>
      </w:pPr>
      <w:r>
        <w:rPr>
          <w:szCs w:val="22"/>
          <w:lang w:val="en-US" w:eastAsia="en-US" w:bidi="ar-SA"/>
          <w:rFonts w:ascii="Times New Roman" w:hAnsi="Times New Roman" w:eastAsia="Times New Roman" w:cs="Times New Roman"/>
          <w:sz w:val="24"/>
        </w:rP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5.6 The F4 Cluster and the Objective-Score-Improvement/Non-Return Paradox</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pPr>
        <w:pStyle w:val="Heading2"/>
      </w:pPr>
      <w:bookmarkStart w:id="91" w:name="_Toc23202458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was measured once before and once after the window on a single instrument whose short-interval test-retest variability is non-trivial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joins the baseline battery in the confirmatory study; the embedded investigator was not complemented by an independent observer; and the clinical meaning of short-term index change is a question this thesis deliberately leaves to clinical colleagues.</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Chapter 6 Stage 3 — Participant-Facing Decoupling: Between-Cohort Evidence for a Frame-Sensitive Account</w:t>
      </w:r>
    </w:p>
    <w:p>
      <w:pPr>
        <w:pStyle w:val="Heading2"/>
      </w:pPr>
      <w:bookmarkStart w:id="93" w:name="_Toc23202458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pPr>
        <w:pStyle w:val="Heading2"/>
      </w:pPr>
      <w:bookmarkStart w:id="94" w:name="_Toc232024586"/>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recruitment and session language described a coordination challenge,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w:t>
      </w:r>
    </w:p>
    <w:p>
      <w:pPr>
        <w:pStyle w:val="Heading2"/>
      </w:pPr>
      <w:bookmarkStart w:id="95" w:name="_Toc23202458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work contacts, a charity community network, university support channels and working peers in medical centres — in three age bands: 38 aged 25-44, 41 aged 45-64 and 41 aged 65-80. Recruitment materials referred to a coordination challenge and did not use medical or fall-prevention language. Each participant received the HTML build by e-mail and played on their own computer, with a trackpad or arrow keys, or a foot-pad sensor where one was available; play was unsupervised. Of the 120 participants, 48 were male and 72 female, and all reported high-school education or above.</w:t>
      </w:r>
    </w:p>
    <w:p>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reduces, though it does not eliminate, the risk that participation reflected personal obligation to the researcher.</w:t>
      </w:r>
    </w:p>
    <w:p>
      <w:pPr>
        <w:pStyle w:val="Normal"/>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 an incomplete first session, or no second session within the study window. A return denotes a subsequently logged completed session after an initial dropout. Observed non-return denotes an initial dropout with no returned session inside the study window, and retention is its complement over the cohort. The chapter reports the aggregate record compiled from the returned files. The data logbook (Appendix G, item G.3) holds the participant-level compilation from the returned e-mails; its reconciliation sheet recomputes every indicator from the participant-level entries, so the compilation can be verified against the record.</w:t>
      </w:r>
    </w:p>
    <w:p>
      <w:pPr>
        <w:pStyle w:val="Heading2"/>
      </w:pPr>
      <w:bookmarkStart w:id="96" w:name="_Toc23202458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6.5 Findings: A Substantial Behavioural Shift</w:t>
      </w:r>
      <w:bookmarkEnd w:id="96"/>
    </w:p>
    <w:p>
      <w:pPr>
        <w:pStyle w:val="FigureCaption"/>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Engagement metric</w:t>
            </w:r>
          </w:p>
        </w:tc>
        <w:tc>
          <w:tcPr>
            <w:tcW w:w="2831" w:type="dxa"/>
          </w:tcPr>
          <w:p>
            <w:pPr>
              <w:pStyle w:val="Normal"/>
            </w:pPr>
            <w:r>
              <w:rPr>
                <w:b/>
                <w:sz w:val="28"/>
                <w:szCs w:val="26"/>
                <w:lang w:val="en-US" w:eastAsia="en-US" w:bidi="ar-SA"/>
                <w:rFonts w:ascii="Times New Roman" w:hAnsi="Times New Roman" w:eastAsia="Times New Roman" w:cs="Times New Roman"/>
              </w:rPr>
              <w:t>Count</w:t>
            </w:r>
          </w:p>
        </w:tc>
        <w:tc>
          <w:tcPr>
            <w:tcW w:w="2832" w:type="dxa"/>
          </w:tcPr>
          <w:p>
            <w:pPr>
              <w:pStyle w:val="Normal"/>
            </w:pPr>
            <w:r>
              <w:rPr>
                <w:b/>
                <w:sz w:val="28"/>
                <w:szCs w:val="26"/>
                <w:lang w:val="en-US" w:eastAsia="en-US" w:bidi="ar-SA"/>
                <w:rFonts w:ascii="Times New Roman" w:hAnsi="Times New Roman" w:eastAsia="Times New Roman" w:cs="Times New Roman"/>
              </w:rPr>
              <w:t>Percentage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Initial dropout</w:t>
            </w:r>
          </w:p>
        </w:tc>
        <w:tc>
          <w:tcPr>
            <w:tcW w:w="2831" w:type="dxa"/>
          </w:tcPr>
          <w:p>
            <w:pPr>
              <w:pStyle w:val="Normal"/>
            </w:pPr>
            <w:r>
              <w:rPr>
                <w:sz w:val="20"/>
                <w:szCs w:val="22"/>
                <w:lang w:val="en-US" w:eastAsia="en-US" w:bidi="ar-SA"/>
                <w:rFonts w:ascii="Times New Roman" w:hAnsi="Times New Roman" w:eastAsia="Times New Roman" w:cs="Times New Roman"/>
              </w:rPr>
              <w:t>23/120</w:t>
            </w:r>
          </w:p>
        </w:tc>
        <w:tc>
          <w:tcPr>
            <w:tcW w:w="2832" w:type="dxa"/>
          </w:tcPr>
          <w:p>
            <w:pPr>
              <w:pStyle w:val="Normal"/>
            </w:pPr>
            <w:r>
              <w:rPr>
                <w:sz w:val="20"/>
                <w:szCs w:val="22"/>
                <w:lang w:val="en-US" w:eastAsia="en-US" w:bidi="ar-SA"/>
                <w:rFonts w:ascii="Times New Roman" w:hAnsi="Times New Roman" w:eastAsia="Times New Roman" w:cs="Times New Roman"/>
              </w:rPr>
              <w:t>19.2</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Returned after dropout</w:t>
            </w:r>
          </w:p>
        </w:tc>
        <w:tc>
          <w:tcPr>
            <w:tcW w:w="2831" w:type="dxa"/>
          </w:tcPr>
          <w:p>
            <w:pPr>
              <w:pStyle w:val="Normal"/>
            </w:pPr>
            <w:r>
              <w:rPr>
                <w:sz w:val="20"/>
                <w:szCs w:val="22"/>
                <w:lang w:val="en-US" w:eastAsia="en-US" w:bidi="ar-SA"/>
                <w:rFonts w:ascii="Times New Roman" w:hAnsi="Times New Roman" w:eastAsia="Times New Roman" w:cs="Times New Roman"/>
              </w:rPr>
              <w:t>15/23</w:t>
            </w:r>
          </w:p>
        </w:tc>
        <w:tc>
          <w:tcPr>
            <w:tcW w:w="2832" w:type="dxa"/>
          </w:tcPr>
          <w:p>
            <w:pPr>
              <w:pStyle w:val="Normal"/>
            </w:pPr>
            <w:r>
              <w:rPr>
                <w:sz w:val="20"/>
                <w:szCs w:val="22"/>
                <w:lang w:val="en-US" w:eastAsia="en-US" w:bidi="ar-SA"/>
                <w:rFonts w:ascii="Times New Roman" w:hAnsi="Times New Roman" w:eastAsia="Times New Roman" w:cs="Times New Roman"/>
              </w:rPr>
              <w:t>65.2</w:t>
            </w:r>
          </w:p>
        </w:tc>
      </w:tr>
      <w:tr>
        <w:trPr>
          <w:jc w:val="center"/>
        </w:trPr>
        <w:tc>
          <w:tcPr>
            <w:tcW w:w="2832"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2831" w:type="dxa"/>
          </w:tcPr>
          <w:p>
            <w:pPr>
              <w:pStyle w:val="Normal"/>
            </w:pPr>
            <w:r>
              <w:rPr>
                <w:sz w:val="20"/>
                <w:szCs w:val="22"/>
                <w:lang w:val="en-US" w:eastAsia="en-US" w:bidi="ar-SA"/>
                <w:rFonts w:ascii="Times New Roman" w:hAnsi="Times New Roman" w:eastAsia="Times New Roman" w:cs="Times New Roman"/>
              </w:rPr>
              <w:t>8/120</w:t>
            </w:r>
          </w:p>
        </w:tc>
        <w:tc>
          <w:tcPr>
            <w:tcW w:w="2832" w:type="dxa"/>
          </w:tcPr>
          <w:p>
            <w:pPr>
              <w:pStyle w:val="Normal"/>
            </w:pPr>
            <w:r>
              <w:rPr>
                <w:sz w:val="20"/>
                <w:szCs w:val="22"/>
                <w:lang w:val="en-US" w:eastAsia="en-US" w:bidi="ar-SA"/>
                <w:rFonts w:ascii="Times New Roman" w:hAnsi="Times New Roman" w:eastAsia="Times New Roman" w:cs="Times New Roman"/>
              </w:rPr>
              <w:t>6.7</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Overall retention</w:t>
            </w:r>
          </w:p>
        </w:tc>
        <w:tc>
          <w:tcPr>
            <w:tcW w:w="2831" w:type="dxa"/>
          </w:tcPr>
          <w:p>
            <w:pPr>
              <w:pStyle w:val="Normal"/>
            </w:pPr>
            <w:r>
              <w:rPr>
                <w:sz w:val="20"/>
                <w:szCs w:val="22"/>
                <w:lang w:val="en-US" w:eastAsia="en-US" w:bidi="ar-SA"/>
                <w:rFonts w:ascii="Times New Roman" w:hAnsi="Times New Roman" w:eastAsia="Times New Roman" w:cs="Times New Roman"/>
              </w:rPr>
              <w:t>112/120</w:t>
            </w:r>
          </w:p>
        </w:tc>
        <w:tc>
          <w:tcPr>
            <w:tcW w:w="2832" w:type="dxa"/>
          </w:tcPr>
          <w:p>
            <w:pPr>
              <w:pStyle w:val="Normal"/>
            </w:pPr>
            <w:r>
              <w:rPr>
                <w:sz w:val="20"/>
                <w:szCs w:val="22"/>
                <w:lang w:val="en-US" w:eastAsia="en-US" w:bidi="ar-SA"/>
                <w:rFonts w:ascii="Times New Roman" w:hAnsi="Times New Roman" w:eastAsia="Times New Roman" w:cs="Times New Roman"/>
              </w:rPr>
              <w:t>93.3</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 rate among initial dropouts</w:t>
            </w:r>
          </w:p>
        </w:tc>
        <w:tc>
          <w:tcPr>
            <w:tcW w:w="2831" w:type="dxa"/>
          </w:tcPr>
          <w:p>
            <w:pPr>
              <w:pStyle w:val="Normal"/>
            </w:pPr>
            <w:r>
              <w:rPr>
                <w:sz w:val="20"/>
                <w:szCs w:val="22"/>
                <w:lang w:val="en-US" w:eastAsia="en-US" w:bidi="ar-SA"/>
                <w:rFonts w:ascii="Times New Roman" w:hAnsi="Times New Roman" w:eastAsia="Times New Roman" w:cs="Times New Roman"/>
              </w:rPr>
              <w:t>—</w:t>
            </w:r>
          </w:p>
        </w:tc>
        <w:tc>
          <w:tcPr>
            <w:tcW w:w="2832" w:type="dxa"/>
          </w:tcPr>
          <w:p>
            <w:pPr>
              <w:pStyle w:val="Normal"/>
            </w:pPr>
            <w:r>
              <w:rPr>
                <w:sz w:val="20"/>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is therefore consistent with the theory stack of Chapter 2 holding for elderly users, including the An–Cheung demonstration, and with the Stage-2 failure residing in the coupling rather than in the game or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provides evidence consistent with both readings: that the game itself was not the source of the failure, and that the problem, where it exists, lives at the identity level of the older user.</w:t>
      </w:r>
    </w:p>
    <w:p>
      <w:pPr>
        <w:pStyle w:val="FigureCaption"/>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trPr>
          <w:jc w:val="center"/>
        </w:trPr>
        <w:tc>
          <w:tcPr>
            <w:tcW w:w="1416" w:type="dxa"/>
          </w:tcPr>
          <w:p>
            <w:pPr>
              <w:pStyle w:val="Normal"/>
            </w:pPr>
            <w:r>
              <w:rPr>
                <w:szCs w:val="26"/>
                <w:lang w:val="en-US" w:eastAsia="en-US" w:bidi="ar-SA"/>
                <w:rFonts w:ascii="Times New Roman" w:hAnsi="Times New Roman" w:eastAsia="Times New Roman" w:cs="Times New Roman"/>
                <w:sz w:val="28"/>
                <w:b/>
              </w:rPr>
              <w:t>Age band</w:t>
            </w:r>
          </w:p>
        </w:tc>
        <w:tc>
          <w:tcPr>
            <w:tcW w:w="1415" w:type="dxa"/>
          </w:tcPr>
          <w:p>
            <w:pPr>
              <w:pStyle w:val="Normal"/>
            </w:pPr>
            <w:r>
              <w:rPr>
                <w:b/>
                <w:sz w:val="28"/>
                <w:szCs w:val="26"/>
                <w:lang w:val="en-US" w:eastAsia="en-US" w:bidi="ar-SA"/>
                <w:rFonts w:ascii="Times New Roman" w:hAnsi="Times New Roman" w:eastAsia="Times New Roman" w:cs="Times New Roman"/>
              </w:rPr>
              <w:t>n</w:t>
            </w:r>
          </w:p>
        </w:tc>
        <w:tc>
          <w:tcPr>
            <w:tcW w:w="1416" w:type="dxa"/>
          </w:tcPr>
          <w:p>
            <w:pPr>
              <w:pStyle w:val="Normal"/>
            </w:pPr>
            <w:r>
              <w:rPr>
                <w:b/>
                <w:sz w:val="28"/>
                <w:szCs w:val="26"/>
                <w:lang w:val="en-US" w:eastAsia="en-US" w:bidi="ar-SA"/>
                <w:rFonts w:ascii="Times New Roman" w:hAnsi="Times New Roman" w:eastAsia="Times New Roman" w:cs="Times New Roman"/>
              </w:rPr>
              <w:t>Initial dropout</w:t>
            </w:r>
          </w:p>
        </w:tc>
        <w:tc>
          <w:tcPr>
            <w:tcW w:w="1416" w:type="dxa"/>
          </w:tcPr>
          <w:p>
            <w:pPr>
              <w:pStyle w:val="Normal"/>
            </w:pPr>
            <w:r>
              <w:rPr>
                <w:b/>
                <w:sz w:val="28"/>
                <w:szCs w:val="26"/>
                <w:lang w:val="en-US" w:eastAsia="en-US" w:bidi="ar-SA"/>
                <w:rFonts w:ascii="Times New Roman" w:hAnsi="Times New Roman" w:eastAsia="Times New Roman" w:cs="Times New Roman"/>
              </w:rPr>
              <w:t>Returned</w:t>
            </w:r>
          </w:p>
        </w:tc>
        <w:tc>
          <w:tcPr>
            <w:tcW w:w="1416" w:type="dxa"/>
          </w:tcPr>
          <w:p>
            <w:pPr>
              <w:pStyle w:val="Normal"/>
            </w:pPr>
            <w:r>
              <w:rPr>
                <w:szCs w:val="22"/>
                <w:lang w:val="en-US" w:eastAsia="en-US" w:bidi="ar-SA"/>
                <w:rFonts w:ascii="Times New Roman" w:hAnsi="Times New Roman" w:eastAsia="Times New Roman" w:cs="Times New Roman"/>
                <w:sz w:val="24"/>
              </w:rPr>
              <w:t>Observed non-return</w:t>
            </w:r>
          </w:p>
        </w:tc>
        <w:tc>
          <w:tcPr>
            <w:tcW w:w="1416" w:type="dxa"/>
          </w:tcPr>
          <w:p>
            <w:pPr>
              <w:pStyle w:val="Normal"/>
            </w:pPr>
            <w:r>
              <w:rPr>
                <w:b/>
                <w:sz w:val="28"/>
                <w:szCs w:val="26"/>
                <w:lang w:val="en-US" w:eastAsia="en-US" w:bidi="ar-SA"/>
                <w:rFonts w:ascii="Times New Roman" w:hAnsi="Times New Roman" w:eastAsia="Times New Roman" w:cs="Times New Roman"/>
              </w:rPr>
              <w:t>Retention</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25–44</w:t>
            </w:r>
          </w:p>
        </w:tc>
        <w:tc>
          <w:tcPr>
            <w:tcW w:w="1415" w:type="dxa"/>
          </w:tcPr>
          <w:p>
            <w:pPr>
              <w:pStyle w:val="Normal"/>
            </w:pPr>
            <w:r>
              <w:rPr>
                <w:szCs w:val="22"/>
                <w:lang w:val="en-US" w:eastAsia="en-US" w:bidi="ar-SA"/>
                <w:rFonts w:ascii="Times New Roman" w:hAnsi="Times New Roman" w:eastAsia="Times New Roman" w:cs="Times New Roman"/>
                <w:sz w:val="24"/>
              </w:rPr>
              <w:t>38</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0</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100.0%</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45–64</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7 (17.1%)</w:t>
            </w:r>
          </w:p>
        </w:tc>
        <w:tc>
          <w:tcPr>
            <w:tcW w:w="1416" w:type="dxa"/>
          </w:tcPr>
          <w:p>
            <w:pPr>
              <w:pStyle w:val="Normal"/>
            </w:pPr>
            <w:r>
              <w:rPr>
                <w:sz w:val="20"/>
                <w:szCs w:val="22"/>
                <w:lang w:val="en-US" w:eastAsia="en-US" w:bidi="ar-SA"/>
                <w:rFonts w:ascii="Times New Roman" w:hAnsi="Times New Roman" w:eastAsia="Times New Roman" w:cs="Times New Roman"/>
              </w:rPr>
              <w:t>5</w:t>
            </w:r>
          </w:p>
        </w:tc>
        <w:tc>
          <w:tcPr>
            <w:tcW w:w="1416" w:type="dxa"/>
          </w:tcPr>
          <w:p>
            <w:pPr>
              <w:pStyle w:val="Normal"/>
            </w:pPr>
            <w:r>
              <w:rPr>
                <w:szCs w:val="22"/>
                <w:lang w:val="en-US" w:eastAsia="en-US" w:bidi="ar-SA"/>
                <w:rFonts w:ascii="Times New Roman" w:hAnsi="Times New Roman" w:eastAsia="Times New Roman" w:cs="Times New Roman"/>
                <w:sz w:val="24"/>
              </w:rPr>
              <w:t>2 (4.9%)</w:t>
            </w:r>
          </w:p>
        </w:tc>
        <w:tc>
          <w:tcPr>
            <w:tcW w:w="1416" w:type="dxa"/>
          </w:tcPr>
          <w:p>
            <w:pPr>
              <w:pStyle w:val="Normal"/>
            </w:pPr>
            <w:r>
              <w:rPr>
                <w:szCs w:val="22"/>
                <w:lang w:val="en-US" w:eastAsia="en-US" w:bidi="ar-SA"/>
                <w:rFonts w:ascii="Times New Roman" w:hAnsi="Times New Roman" w:eastAsia="Times New Roman" w:cs="Times New Roman"/>
                <w:sz w:val="24"/>
              </w:rPr>
              <w:t>95.1%</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65–80</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16 (39.0%)</w:t>
            </w:r>
          </w:p>
        </w:tc>
        <w:tc>
          <w:tcPr>
            <w:tcW w:w="1416" w:type="dxa"/>
          </w:tcPr>
          <w:p>
            <w:pPr>
              <w:pStyle w:val="Normal"/>
            </w:pPr>
            <w:r>
              <w:rPr>
                <w:sz w:val="20"/>
                <w:szCs w:val="22"/>
                <w:lang w:val="en-US" w:eastAsia="en-US" w:bidi="ar-SA"/>
                <w:rFonts w:ascii="Times New Roman" w:hAnsi="Times New Roman" w:eastAsia="Times New Roman" w:cs="Times New Roman"/>
              </w:rPr>
              <w:t>10</w:t>
            </w:r>
          </w:p>
        </w:tc>
        <w:tc>
          <w:tcPr>
            <w:tcW w:w="1416" w:type="dxa"/>
          </w:tcPr>
          <w:p>
            <w:pPr>
              <w:pStyle w:val="Normal"/>
            </w:pPr>
            <w:r>
              <w:rPr>
                <w:szCs w:val="22"/>
                <w:lang w:val="en-US" w:eastAsia="en-US" w:bidi="ar-SA"/>
                <w:rFonts w:ascii="Times New Roman" w:hAnsi="Times New Roman" w:eastAsia="Times New Roman" w:cs="Times New Roman"/>
                <w:sz w:val="24"/>
              </w:rPr>
              <w:t>6 (14.6%)</w:t>
            </w:r>
          </w:p>
        </w:tc>
        <w:tc>
          <w:tcPr>
            <w:tcW w:w="1416" w:type="dxa"/>
          </w:tcPr>
          <w:p>
            <w:pPr>
              <w:pStyle w:val="Normal"/>
            </w:pPr>
            <w:r>
              <w:rPr>
                <w:szCs w:val="22"/>
                <w:lang w:val="en-US" w:eastAsia="en-US" w:bidi="ar-SA"/>
                <w:rFonts w:ascii="Times New Roman" w:hAnsi="Times New Roman" w:eastAsia="Times New Roman" w:cs="Times New Roman"/>
                <w:sz w:val="24"/>
              </w:rPr>
              <w:t>85.4%</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Total</w:t>
            </w:r>
          </w:p>
        </w:tc>
        <w:tc>
          <w:tcPr>
            <w:tcW w:w="1415" w:type="dxa"/>
          </w:tcPr>
          <w:p>
            <w:pPr>
              <w:pStyle w:val="Normal"/>
            </w:pPr>
            <w:r>
              <w:rPr>
                <w:sz w:val="20"/>
                <w:szCs w:val="22"/>
                <w:lang w:val="en-US" w:eastAsia="en-US" w:bidi="ar-SA"/>
                <w:rFonts w:ascii="Times New Roman" w:hAnsi="Times New Roman" w:eastAsia="Times New Roman" w:cs="Times New Roman"/>
              </w:rPr>
              <w:t>120</w:t>
            </w:r>
          </w:p>
        </w:tc>
        <w:tc>
          <w:tcPr>
            <w:tcW w:w="1416" w:type="dxa"/>
          </w:tcPr>
          <w:p>
            <w:pPr>
              <w:pStyle w:val="Normal"/>
            </w:pPr>
            <w:r>
              <w:rPr>
                <w:sz w:val="20"/>
                <w:szCs w:val="22"/>
                <w:lang w:val="en-US" w:eastAsia="en-US" w:bidi="ar-SA"/>
                <w:rFonts w:ascii="Times New Roman" w:hAnsi="Times New Roman" w:eastAsia="Times New Roman" w:cs="Times New Roman"/>
              </w:rPr>
              <w:t>23 (19.2%)</w:t>
            </w:r>
          </w:p>
        </w:tc>
        <w:tc>
          <w:tcPr>
            <w:tcW w:w="1416" w:type="dxa"/>
          </w:tcPr>
          <w:p>
            <w:pPr>
              <w:pStyle w:val="Normal"/>
            </w:pPr>
            <w:r>
              <w:rPr>
                <w:sz w:val="20"/>
                <w:szCs w:val="22"/>
                <w:lang w:val="en-US" w:eastAsia="en-US" w:bidi="ar-SA"/>
                <w:rFonts w:ascii="Times New Roman" w:hAnsi="Times New Roman" w:eastAsia="Times New Roman" w:cs="Times New Roman"/>
              </w:rPr>
              <w:t>15</w:t>
            </w:r>
          </w:p>
        </w:tc>
        <w:tc>
          <w:tcPr>
            <w:tcW w:w="1416" w:type="dxa"/>
          </w:tcPr>
          <w:p>
            <w:pPr>
              <w:pStyle w:val="Normal"/>
            </w:pPr>
            <w:r>
              <w:rPr>
                <w:sz w:val="20"/>
                <w:szCs w:val="22"/>
                <w:lang w:val="en-US" w:eastAsia="en-US" w:bidi="ar-SA"/>
                <w:rFonts w:ascii="Times New Roman" w:hAnsi="Times New Roman" w:eastAsia="Times New Roman" w:cs="Times New Roman"/>
              </w:rPr>
              <w:t>8 (6.7%)</w:t>
            </w:r>
          </w:p>
        </w:tc>
        <w:tc>
          <w:tcPr>
            <w:tcW w:w="1416" w:type="dxa"/>
          </w:tcPr>
          <w:p>
            <w:pPr>
              <w:pStyle w:val="Normal"/>
            </w:pPr>
            <w:r>
              <w:rPr>
                <w:sz w:val="20"/>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trPr>
          <w:jc w:val="center"/>
        </w:trPr>
        <w:tc>
          <w:tcPr>
            <w:tcW w:w="1701" w:type="dxa"/>
          </w:tcPr>
          <w:p>
            <w:pPr>
              <w:pStyle w:val="Normal"/>
            </w:pPr>
            <w:r>
              <w:rPr>
                <w:b/>
                <w:sz w:val="28"/>
                <w:szCs w:val="26"/>
                <w:lang w:val="en-US" w:eastAsia="en-US" w:bidi="ar-SA"/>
                <w:rFonts w:ascii="Times New Roman" w:hAnsi="Times New Roman" w:eastAsia="Times New Roman" w:cs="Times New Roman"/>
              </w:rPr>
              <w:t>Item</w:t>
            </w:r>
          </w:p>
        </w:tc>
        <w:tc>
          <w:tcPr>
            <w:tcW w:w="1699" w:type="dxa"/>
          </w:tcPr>
          <w:p>
            <w:pPr>
              <w:pStyle w:val="Normal"/>
            </w:pPr>
            <w:r>
              <w:rPr>
                <w:b/>
                <w:sz w:val="28"/>
                <w:szCs w:val="26"/>
                <w:lang w:val="en-US" w:eastAsia="en-US" w:bidi="ar-SA"/>
                <w:rFonts w:ascii="Times New Roman" w:hAnsi="Times New Roman" w:eastAsia="Times New Roman" w:cs="Times New Roman"/>
              </w:rPr>
              <w:t>Younger 25–44</w:t>
            </w:r>
          </w:p>
        </w:tc>
        <w:tc>
          <w:tcPr>
            <w:tcW w:w="1699" w:type="dxa"/>
          </w:tcPr>
          <w:p>
            <w:pPr>
              <w:pStyle w:val="Normal"/>
            </w:pPr>
            <w:r>
              <w:rPr>
                <w:b/>
                <w:sz w:val="28"/>
                <w:szCs w:val="26"/>
                <w:lang w:val="en-US" w:eastAsia="en-US" w:bidi="ar-SA"/>
                <w:rFonts w:ascii="Times New Roman" w:hAnsi="Times New Roman" w:eastAsia="Times New Roman" w:cs="Times New Roman"/>
              </w:rPr>
              <w:t>Middle 45–64</w:t>
            </w:r>
          </w:p>
        </w:tc>
        <w:tc>
          <w:tcPr>
            <w:tcW w:w="1698" w:type="dxa"/>
          </w:tcPr>
          <w:p>
            <w:pPr>
              <w:pStyle w:val="Normal"/>
            </w:pPr>
            <w:r>
              <w:rPr>
                <w:b/>
                <w:sz w:val="28"/>
                <w:szCs w:val="26"/>
                <w:lang w:val="en-US" w:eastAsia="en-US" w:bidi="ar-SA"/>
                <w:rFonts w:ascii="Times New Roman" w:hAnsi="Times New Roman" w:eastAsia="Times New Roman" w:cs="Times New Roman"/>
              </w:rPr>
              <w:t>Older 65–80</w:t>
            </w:r>
          </w:p>
        </w:tc>
        <w:tc>
          <w:tcPr>
            <w:tcW w:w="1698" w:type="dxa"/>
          </w:tcPr>
          <w:p>
            <w:pPr>
              <w:pStyle w:val="Normal"/>
            </w:pPr>
            <w:r>
              <w:rPr>
                <w:b/>
                <w:sz w:val="28"/>
                <w:szCs w:val="26"/>
                <w:lang w:val="en-US" w:eastAsia="en-US" w:bidi="ar-SA"/>
                <w:rFonts w:ascii="Times New Roman" w:hAnsi="Times New Roman" w:eastAsia="Times New Roman" w:cs="Times New Roman"/>
              </w:rPr>
              <w:t>Total</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71.7%</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0"/>
              </w:rPr>
              <w:t>Would use regularly if accessible</w:t>
            </w:r>
          </w:p>
        </w:tc>
        <w:tc>
          <w:tcPr>
            <w:tcW w:w="1699" w:type="dxa"/>
          </w:tcPr>
          <w:p>
            <w:pPr>
              <w:pStyle w:val="Normal"/>
            </w:pPr>
            <w:r>
              <w:rPr>
                <w:szCs w:val="22"/>
                <w:lang w:val="en-US" w:eastAsia="en-US" w:bidi="ar-SA"/>
                <w:rFonts w:ascii="Times New Roman" w:hAnsi="Times New Roman" w:eastAsia="Times New Roman" w:cs="Times New Roman"/>
                <w:sz w:val="24"/>
              </w:rPr>
              <w:t>65.8%</w:t>
            </w:r>
          </w:p>
        </w:tc>
        <w:tc>
          <w:tcPr>
            <w:tcW w:w="1699" w:type="dxa"/>
          </w:tcPr>
          <w:p>
            <w:pPr>
              <w:pStyle w:val="Normal"/>
            </w:pPr>
            <w:r>
              <w:rPr>
                <w:szCs w:val="22"/>
                <w:lang w:val="en-US" w:eastAsia="en-US" w:bidi="ar-SA"/>
                <w:rFonts w:ascii="Times New Roman" w:hAnsi="Times New Roman" w:eastAsia="Times New Roman" w:cs="Times New Roman"/>
                <w:sz w:val="24"/>
              </w:rPr>
              <w:t>68.3%</w:t>
            </w:r>
          </w:p>
        </w:tc>
        <w:tc>
          <w:tcPr>
            <w:tcW w:w="1698" w:type="dxa"/>
          </w:tcPr>
          <w:p>
            <w:pPr>
              <w:pStyle w:val="Normal"/>
            </w:pPr>
            <w:r>
              <w:rPr>
                <w:szCs w:val="22"/>
                <w:lang w:val="en-US" w:eastAsia="en-US" w:bidi="ar-SA"/>
                <w:rFonts w:ascii="Times New Roman" w:hAnsi="Times New Roman" w:eastAsia="Times New Roman" w:cs="Times New Roman"/>
                <w:sz w:val="24"/>
              </w:rPr>
              <w:t>56.1%</w:t>
            </w:r>
          </w:p>
        </w:tc>
        <w:tc>
          <w:tcPr>
            <w:tcW w:w="1698" w:type="dxa"/>
          </w:tcPr>
          <w:p>
            <w:pPr>
              <w:pStyle w:val="Normal"/>
            </w:pPr>
            <w:r>
              <w:rPr>
                <w:sz w:val="20"/>
                <w:szCs w:val="22"/>
                <w:lang w:val="en-US" w:eastAsia="en-US" w:bidi="ar-SA"/>
                <w:rFonts w:ascii="Times New Roman" w:hAnsi="Times New Roman" w:eastAsia="Times New Roman" w:cs="Times New Roman"/>
              </w:rPr>
              <w:t>63.3%</w:t>
            </w:r>
          </w:p>
        </w:tc>
      </w:tr>
    </w:tbl>
    <w:p>
      <w:pPr>
        <w:pStyle w:val="Normal"/>
        <w:spacing w:after="40"/>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w:t>
      </w:r>
    </w:p>
    <w:p>
      <w:pPr>
        <w:pStyle w:val="Normal"/>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jc w:val="center"/>
      </w:pPr>
      <w:bookmarkStart w:id="100" w:name="_Toc232024690"/>
      <w:r>
        <w:rPr>
          <w:sz w:val="24"/>
          <w:szCs w:val="22"/>
          <w:lang w:val="en-US" w:eastAsia="en-US" w:bidi="ar-SA"/>
          <w:rFonts w:ascii="Times New Roman" w:hAnsi="Times New Roman" w:eastAsia="Times New Roman" w:cs="Times New Roman"/>
          <w:i/>
          <w:b/>
        </w:rPr>
        <w:t>Figure 6.2. Return behaviour after initial dropout, by age band: 62.5% return rate in the 65–80 band.</w:t>
      </w:r>
      <w:bookmarkEnd w:id="100"/>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6.6 The Objective-Score-Improvement/Non-Return Paradox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pPr>
        <w:pStyle w:val="Normal"/>
        <w:jc w:val="both"/>
      </w:pPr>
      <w:r>
        <w:rPr>
          <w:szCs w:val="22"/>
          <w:lang w:val="en-US" w:eastAsia="en-US" w:bidi="ar-SA"/>
          <w:rFonts w:ascii="Times New Roman" w:hAnsi="Times New Roman" w:eastAsia="Times New Roman" w:cs="Times New Roman"/>
          <w:sz w:val="24"/>
        </w:rP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pPr>
        <w:pStyle w:val="Normal"/>
        <w:jc w:val="both"/>
      </w:pPr>
      <w:r>
        <w:rPr>
          <w:szCs w:val="22"/>
          <w:lang w:val="en-US" w:eastAsia="en-US" w:bidi="ar-SA"/>
          <w:rFonts w:ascii="Times New Roman" w:hAnsi="Times New Roman" w:eastAsia="Times New Roman" w:cs="Times New Roman"/>
          <w:sz w:val="24"/>
        </w:rP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jc w:val="center"/>
      </w:pPr>
      <w:bookmarkStart w:id="102" w:name="_Toc232024691"/>
      <w:r>
        <w:rPr>
          <w:sz w:val="24"/>
          <w:szCs w:val="22"/>
          <w:lang w:val="en-US" w:eastAsia="en-US" w:bidi="ar-SA"/>
          <w:rFonts w:ascii="Times New Roman" w:hAnsi="Times New Roman" w:eastAsia="Times New Roman" w:cs="Times New Roman"/>
          <w:i/>
          <w:b/>
        </w:rPr>
        <w:t>Figure 6.3. Retention versus regular-use intention by age band: the 29.3-pp commitment gap in the 65–80 band.</w:t>
      </w:r>
      <w:bookmarkEnd w:id="102"/>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6.8A The Commitment Gap Read Through Group Dynamics: An Expert Consultation</w:t>
      </w:r>
    </w:p>
    <w:p>
      <w:pPr>
        <w:pStyle w:val="Normal"/>
      </w:pPr>
      <w:r>
        <w:rPr>
          <w:szCs w:val="22"/>
          <w:lang w:val="en-US" w:eastAsia="en-US" w:bidi="ar-SA"/>
          <w:rFonts w:ascii="Times New Roman" w:hAnsi="Times New Roman" w:eastAsia="Times New Roman" w:cs="Times New Roman"/>
          <w:sz w:val="24"/>
        </w:rPr>
        <w:t>The interpretation of the commitment gap was examined after the empirical programme through a single expert consultation interview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an independent statement, from a sociology of aging perspective, of the identity-level avoidance that the FIAS account proposes.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pPr>
      <w:r>
        <w:rPr>
          <w:szCs w:val="22"/>
          <w:lang w:val="en-US" w:eastAsia="en-US" w:bidi="ar-SA"/>
          <w:rFonts w:ascii="Times New Roman" w:hAnsi="Times New Roman" w:eastAsia="Times New Roman" w:cs="Times New Roman"/>
          <w:sz w:val="24"/>
        </w:rPr>
        <w:t>What the consultation adds to the commitment-gap reading is a social mechanism the programme's own data could not supply.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correspond to trajectory installation (P2), since a visible personal trajectory is exactly what makes results expected rather than 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3's design choices set the scope of what it can say, and the thesis is comfortable inside that scope. It is a between-cycle, between-cohort comparison, so it speaks in strong associations rather than isolated causes. The decoupling intervention is a coordinated package delivered through a change of platform and setting — an e-mailed HTML build played unsupervised at home — which is how real deployments change frames, but which also means that platform, input device and supervision changed alongside framing. The proposed mechanisms (mental accounting, loss aversion, identity protection, stereotype threat) await their direct measures; volunteers chose to take part,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w:t>
      </w:r>
    </w:p>
    <w:p>
      <w:pPr>
        <w:pStyle w:val="Heading2"/>
      </w:pPr>
      <w:bookmarkStart w:id="104" w:name="_Toc23202459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pPr>
        <w:pStyle w:val="Heading3"/>
      </w:pPr>
      <w:bookmarkStart w:id="105" w:name="_Toc232024595"/>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pPr>
        <w:pStyle w:val="FigureCaption"/>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Model</w:t>
            </w:r>
          </w:p>
        </w:tc>
        <w:tc>
          <w:tcPr>
            <w:tcW w:w="2832" w:type="dxa"/>
          </w:tcPr>
          <w:p>
            <w:pPr>
              <w:pStyle w:val="Normal"/>
            </w:pPr>
            <w:r>
              <w:rPr>
                <w:b/>
                <w:sz w:val="28"/>
                <w:szCs w:val="26"/>
                <w:lang w:val="en-US" w:eastAsia="en-US" w:bidi="ar-SA"/>
                <w:rFonts w:ascii="Times New Roman" w:hAnsi="Times New Roman" w:eastAsia="Times New Roman" w:cs="Times New Roman"/>
              </w:rPr>
              <w:t>Predictors</w:t>
            </w:r>
          </w:p>
        </w:tc>
        <w:tc>
          <w:tcPr>
            <w:tcW w:w="2831" w:type="dxa"/>
          </w:tcPr>
          <w:p>
            <w:pPr>
              <w:pStyle w:val="Normal"/>
            </w:pPr>
            <w:r>
              <w:rPr>
                <w:b/>
                <w:sz w:val="28"/>
                <w:szCs w:val="26"/>
                <w:lang w:val="en-US" w:eastAsia="en-US" w:bidi="ar-SA"/>
                <w:rFonts w:ascii="Times New Roman" w:hAnsi="Times New Roman" w:eastAsia="Times New Roman" w:cs="Times New Roman"/>
              </w:rPr>
              <w:t>Construct represented</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M0 Demographic baseline</w:t>
            </w:r>
          </w:p>
        </w:tc>
        <w:tc>
          <w:tcPr>
            <w:tcW w:w="2832" w:type="dxa"/>
          </w:tcPr>
          <w:p>
            <w:pPr>
              <w:pStyle w:val="Normal"/>
            </w:pPr>
            <w:r>
              <w:rPr>
                <w:sz w:val="20"/>
                <w:szCs w:val="22"/>
                <w:lang w:val="en-US" w:eastAsia="en-US" w:bidi="ar-SA"/>
                <w:rFonts w:ascii="Times New Roman" w:hAnsi="Times New Roman" w:eastAsia="Times New Roman" w:cs="Times New Roman"/>
              </w:rPr>
              <w:t>Age band, sex, education, baseline FES-I, fall history</w:t>
            </w:r>
          </w:p>
        </w:tc>
        <w:tc>
          <w:tcPr>
            <w:tcW w:w="2831" w:type="dxa"/>
          </w:tcPr>
          <w:p>
            <w:pPr>
              <w:pStyle w:val="Normal"/>
            </w:pPr>
            <w:r>
              <w:rPr>
                <w:sz w:val="20"/>
                <w:szCs w:val="22"/>
                <w:lang w:val="en-US" w:eastAsia="en-US" w:bidi="ar-SA"/>
                <w:rFonts w:ascii="Times New Roman" w:hAnsi="Times New Roman" w:eastAsia="Times New Roman" w:cs="Times New Roman"/>
              </w:rPr>
              <w:t>Standard control covariates</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M1 STAM-only</w:t>
            </w:r>
          </w:p>
        </w:tc>
        <w:tc>
          <w:tcPr>
            <w:tcW w:w="2832" w:type="dxa"/>
          </w:tcPr>
          <w:p>
            <w:pPr>
              <w:pStyle w:val="Normal"/>
            </w:pPr>
            <w:r>
              <w:rPr>
                <w:sz w:val="20"/>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2831" w:type="dxa"/>
          </w:tcPr>
          <w:p>
            <w:pPr>
              <w:pStyle w:val="Normal"/>
            </w:pPr>
            <w:r>
              <w:rPr>
                <w:sz w:val="20"/>
                <w:szCs w:val="22"/>
                <w:lang w:val="en-US" w:eastAsia="en-US" w:bidi="ar-SA"/>
                <w:rFonts w:ascii="Times New Roman" w:hAnsi="Times New Roman" w:eastAsia="Times New Roman" w:cs="Times New Roman"/>
              </w:rPr>
              <w:t>Acceptance-model account of intention; predicts initial use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M2 STAM + FIAS operators</w:t>
            </w:r>
          </w:p>
        </w:tc>
        <w:tc>
          <w:tcPr>
            <w:tcW w:w="2832"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2831" w:type="dxa"/>
          </w:tcPr>
          <w:p>
            <w:pPr>
              <w:pStyle w:val="Normal"/>
            </w:pPr>
            <w:r>
              <w:rPr>
                <w:szCs w:val="22"/>
                <w:lang w:val="en-US" w:eastAsia="en-US" w:bidi="ar-SA"/>
                <w:rFonts w:ascii="Times New Roman" w:hAnsi="Times New Roman" w:eastAsia="Times New Roman" w:cs="Times New Roman"/>
                <w:sz w:val="24"/>
              </w:rPr>
              <w:t>Prospective frame-sensitive account; outcome-defining variables must be excluded from predictors and the model has not yet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Comparison M0 versus M1 tests whether the standard senior-acceptance model improves on demographics alone. Comparison M1 versus M2 tests the incremental explanatory power of the FIAS operators specifically.</w:t>
      </w:r>
    </w:p>
    <w:p>
      <w:pPr>
        <w:pStyle w:val="Heading3"/>
      </w:pPr>
      <w:bookmarkStart w:id="107" w:name="_Toc232024596"/>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pPr>
        <w:pStyle w:val="Heading3"/>
      </w:pPr>
      <w:bookmarkStart w:id="108" w:name="_Toc232024597"/>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pPr>
        <w:pStyle w:val="Heading3"/>
      </w:pPr>
      <w:bookmarkStart w:id="109" w:name="_Toc232024598"/>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pPr>
        <w:pStyle w:val="Heading3"/>
      </w:pPr>
      <w:bookmarkStart w:id="110" w:name="_Toc232024599"/>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trPr>
          <w:jc w:val="center"/>
        </w:trPr>
        <w:tc>
          <w:tcPr>
            <w:tcW w:w="3114" w:type="dxa"/>
          </w:tcPr>
          <w:p>
            <w:pPr>
              <w:pStyle w:val="Normal"/>
            </w:pPr>
            <w:r>
              <w:rPr>
                <w:b/>
                <w:sz w:val="20"/>
                <w:szCs w:val="22"/>
                <w:lang w:val="en-US" w:eastAsia="en-US" w:bidi="ar-SA"/>
                <w:rFonts w:ascii="Times New Roman" w:hAnsi="Times New Roman" w:eastAsia="Times New Roman" w:cs="Times New Roman"/>
              </w:rPr>
              <w:t>Contrast or quantity</w:t>
            </w:r>
          </w:p>
        </w:tc>
        <w:tc>
          <w:tcPr>
            <w:tcW w:w="1092" w:type="dxa"/>
          </w:tcPr>
          <w:p>
            <w:pPr>
              <w:pStyle w:val="Normal"/>
            </w:pPr>
            <w:r>
              <w:rPr>
                <w:b/>
                <w:sz w:val="20"/>
                <w:szCs w:val="22"/>
                <w:lang w:val="en-US" w:eastAsia="en-US" w:bidi="ar-SA"/>
                <w:rFonts w:ascii="Times New Roman" w:hAnsi="Times New Roman" w:eastAsia="Times New Roman" w:cs="Times New Roman"/>
              </w:rPr>
              <w:t>Estimate</w:t>
            </w:r>
          </w:p>
        </w:tc>
        <w:tc>
          <w:tcPr>
            <w:tcW w:w="1280" w:type="dxa"/>
          </w:tcPr>
          <w:p>
            <w:pPr>
              <w:pStyle w:val="Normal"/>
            </w:pPr>
            <w:r>
              <w:rPr>
                <w:b/>
                <w:sz w:val="20"/>
                <w:szCs w:val="22"/>
                <w:lang w:val="en-US" w:eastAsia="en-US" w:bidi="ar-SA"/>
                <w:rFonts w:ascii="Times New Roman" w:hAnsi="Times New Roman" w:eastAsia="Times New Roman" w:cs="Times New Roman"/>
              </w:rPr>
              <w:t>95% CI</w:t>
            </w:r>
          </w:p>
        </w:tc>
        <w:tc>
          <w:tcPr>
            <w:tcW w:w="605" w:type="dxa"/>
          </w:tcPr>
          <w:p>
            <w:pPr>
              <w:pStyle w:val="Normal"/>
            </w:pPr>
            <w:r>
              <w:rPr>
                <w:b/>
                <w:sz w:val="20"/>
                <w:szCs w:val="22"/>
                <w:lang w:val="en-US" w:eastAsia="en-US" w:bidi="ar-SA"/>
                <w:rFonts w:ascii="Times New Roman" w:hAnsi="Times New Roman" w:eastAsia="Times New Roman" w:cs="Times New Roman"/>
              </w:rPr>
              <w:t>n</w:t>
            </w:r>
          </w:p>
        </w:tc>
        <w:tc>
          <w:tcPr>
            <w:tcW w:w="2090" w:type="dxa"/>
          </w:tcPr>
          <w:p>
            <w:pPr>
              <w:pStyle w:val="Normal"/>
            </w:pPr>
            <w:r>
              <w:rPr>
                <w:b/>
                <w:sz w:val="20"/>
                <w:szCs w:val="22"/>
                <w:lang w:val="en-US" w:eastAsia="en-US" w:bidi="ar-SA"/>
                <w:rFonts w:ascii="Times New Roman" w:hAnsi="Times New Roman" w:eastAsia="Times New Roman" w:cs="Times New Roman"/>
              </w:rPr>
              <w:t>Test / source</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092" w:type="dxa"/>
          </w:tcPr>
          <w:p>
            <w:pPr>
              <w:pStyle w:val="Normal"/>
            </w:pPr>
            <w:r>
              <w:rPr>
                <w:szCs w:val="22"/>
                <w:lang w:val="en-US" w:eastAsia="en-US" w:bidi="ar-SA"/>
                <w:rFonts w:ascii="Times New Roman" w:hAnsi="Times New Roman" w:eastAsia="Times New Roman" w:cs="Times New Roman"/>
                <w:sz w:val="24"/>
              </w:rPr>
              <w:t>70.0%</w:t>
            </w:r>
          </w:p>
        </w:tc>
        <w:tc>
          <w:tcPr>
            <w:tcW w:w="1280" w:type="dxa"/>
          </w:tcPr>
          <w:p>
            <w:pPr>
              <w:pStyle w:val="Normal"/>
            </w:pPr>
            <w:r>
              <w:rPr>
                <w:szCs w:val="22"/>
                <w:lang w:val="en-US" w:eastAsia="en-US" w:bidi="ar-SA"/>
                <w:rFonts w:ascii="Times New Roman" w:hAnsi="Times New Roman" w:eastAsia="Times New Roman" w:cs="Times New Roman"/>
                <w:sz w:val="24"/>
              </w:rPr>
              <w:t>52.1–83.3%*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092"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280" w:type="dxa"/>
          </w:tcPr>
          <w:p>
            <w:pPr>
              <w:pStyle w:val="Normal"/>
            </w:pPr>
            <w:r>
              <w:rPr>
                <w:szCs w:val="22"/>
                <w:lang w:val="en-US" w:eastAsia="en-US" w:bidi="ar-SA"/>
                <w:rFonts w:ascii="Times New Roman" w:hAnsi="Times New Roman" w:eastAsia="Times New Roman" w:cs="Times New Roman"/>
                <w:sz w:val="24"/>
              </w:rPr>
              <w:t>dz 0.95–3.46; mean 4.5–9.3</w:t>
            </w:r>
          </w:p>
        </w:tc>
        <w:tc>
          <w:tcPr>
            <w:tcW w:w="605" w:type="dxa"/>
          </w:tcPr>
          <w:p>
            <w:pPr>
              <w:pStyle w:val="Normal"/>
            </w:pPr>
            <w:r>
              <w:rPr>
                <w:szCs w:val="22"/>
                <w:lang w:val="en-US" w:eastAsia="en-US" w:bidi="ar-SA"/>
                <w:rFonts w:ascii="Times New Roman" w:hAnsi="Times New Roman" w:eastAsia="Times New Roman" w:cs="Times New Roman"/>
                <w:sz w:val="24"/>
              </w:rPr>
              <w:t>9</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092" w:type="dxa"/>
          </w:tcPr>
          <w:p>
            <w:pPr>
              <w:pStyle w:val="Normal"/>
            </w:pPr>
            <w:r>
              <w:rPr>
                <w:szCs w:val="22"/>
                <w:lang w:val="en-US" w:eastAsia="en-US" w:bidi="ar-SA"/>
                <w:rFonts w:ascii="Times New Roman" w:hAnsi="Times New Roman" w:eastAsia="Times New Roman" w:cs="Times New Roman"/>
                <w:sz w:val="24"/>
              </w:rPr>
              <w:t>dz = 0.42; mean +4.0 points</w:t>
            </w:r>
          </w:p>
        </w:tc>
        <w:tc>
          <w:tcPr>
            <w:tcW w:w="1280" w:type="dxa"/>
          </w:tcPr>
          <w:p>
            <w:pPr>
              <w:pStyle w:val="Normal"/>
            </w:pPr>
            <w:r>
              <w:rPr>
                <w:szCs w:val="22"/>
                <w:lang w:val="en-US" w:eastAsia="en-US" w:bidi="ar-SA"/>
                <w:rFonts w:ascii="Times New Roman" w:hAnsi="Times New Roman" w:eastAsia="Times New Roman" w:cs="Times New Roman"/>
                <w:sz w:val="24"/>
              </w:rPr>
              <w:t>dz 0.05–0.79; mean 0.5–7.6</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092" w:type="dxa"/>
          </w:tcPr>
          <w:p>
            <w:pPr>
              <w:pStyle w:val="Normal"/>
            </w:pPr>
            <w:r>
              <w:rPr>
                <w:szCs w:val="22"/>
                <w:lang w:val="en-US" w:eastAsia="en-US" w:bidi="ar-SA"/>
                <w:rFonts w:ascii="Times New Roman" w:hAnsi="Times New Roman" w:eastAsia="Times New Roman" w:cs="Times New Roman"/>
                <w:sz w:val="24"/>
              </w:rPr>
              <w:t>9/9 vs 11/21 satisfied</w:t>
            </w:r>
          </w:p>
        </w:tc>
        <w:tc>
          <w:tcPr>
            <w:tcW w:w="1280" w:type="dxa"/>
          </w:tcPr>
          <w:p>
            <w:pPr>
              <w:pStyle w:val="Normal"/>
            </w:pPr>
            <w:r>
              <w:rPr>
                <w:szCs w:val="22"/>
                <w:lang w:val="en-US" w:eastAsia="en-US" w:bidi="ar-SA"/>
                <w:rFonts w:ascii="Times New Roman" w:hAnsi="Times New Roman" w:eastAsia="Times New Roman" w:cs="Times New Roman"/>
                <w:sz w:val="24"/>
              </w:rPr>
              <w:t>p = 0.013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Fisher's exact test; §5.5</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092" w:type="dxa"/>
          </w:tcPr>
          <w:p>
            <w:pPr>
              <w:pStyle w:val="Normal"/>
            </w:pPr>
            <w:r>
              <w:rPr>
                <w:sz w:val="24"/>
                <w:szCs w:val="22"/>
                <w:lang w:val="en-US" w:eastAsia="en-US" w:bidi="ar-SA"/>
                <w:rFonts w:ascii="Times New Roman" w:hAnsi="Times New Roman" w:eastAsia="Times New Roman" w:cs="Times New Roman"/>
                <w:b/>
              </w:rPr>
              <w:t>0.0%</w:t>
            </w:r>
          </w:p>
        </w:tc>
        <w:tc>
          <w:tcPr>
            <w:tcW w:w="1280" w:type="dxa"/>
          </w:tcPr>
          <w:p>
            <w:pPr>
              <w:pStyle w:val="Normal"/>
            </w:pPr>
            <w:r>
              <w:rPr>
                <w:sz w:val="24"/>
                <w:szCs w:val="22"/>
                <w:lang w:val="en-US" w:eastAsia="en-US" w:bidi="ar-SA"/>
                <w:rFonts w:ascii="Times New Roman" w:hAnsi="Times New Roman" w:eastAsia="Times New Roman" w:cs="Times New Roman"/>
                <w:b/>
              </w:rPr>
              <w:t>0.0–15.5%*</w:t>
            </w:r>
          </w:p>
        </w:tc>
        <w:tc>
          <w:tcPr>
            <w:tcW w:w="605" w:type="dxa"/>
          </w:tcPr>
          <w:p>
            <w:pPr>
              <w:pStyle w:val="Normal"/>
            </w:pPr>
            <w:r>
              <w:rPr>
                <w:sz w:val="24"/>
                <w:szCs w:val="22"/>
                <w:lang w:val="en-US" w:eastAsia="en-US" w:bidi="ar-SA"/>
                <w:rFonts w:ascii="Times New Roman" w:hAnsi="Times New Roman" w:eastAsia="Times New Roman" w:cs="Times New Roman"/>
                <w:b/>
              </w:rPr>
              <w:t>21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092" w:type="dxa"/>
          </w:tcPr>
          <w:p>
            <w:pPr>
              <w:pStyle w:val="Normal"/>
            </w:pPr>
            <w:r>
              <w:rPr>
                <w:sz w:val="24"/>
                <w:szCs w:val="22"/>
                <w:lang w:val="en-US" w:eastAsia="en-US" w:bidi="ar-SA"/>
                <w:rFonts w:ascii="Times New Roman" w:hAnsi="Times New Roman" w:eastAsia="Times New Roman" w:cs="Times New Roman"/>
                <w:b/>
              </w:rPr>
              <w:t>65.2%</w:t>
            </w:r>
          </w:p>
        </w:tc>
        <w:tc>
          <w:tcPr>
            <w:tcW w:w="1280" w:type="dxa"/>
          </w:tcPr>
          <w:p>
            <w:pPr>
              <w:pStyle w:val="Normal"/>
            </w:pPr>
            <w:r>
              <w:rPr>
                <w:sz w:val="24"/>
                <w:szCs w:val="22"/>
                <w:lang w:val="en-US" w:eastAsia="en-US" w:bidi="ar-SA"/>
                <w:rFonts w:ascii="Times New Roman" w:hAnsi="Times New Roman" w:eastAsia="Times New Roman" w:cs="Times New Roman"/>
                <w:b/>
              </w:rPr>
              <w:t>44.9–81.2%*</w:t>
            </w:r>
          </w:p>
        </w:tc>
        <w:tc>
          <w:tcPr>
            <w:tcW w:w="605" w:type="dxa"/>
          </w:tcPr>
          <w:p>
            <w:pPr>
              <w:pStyle w:val="Normal"/>
            </w:pPr>
            <w:r>
              <w:rPr>
                <w:sz w:val="24"/>
                <w:szCs w:val="22"/>
                <w:lang w:val="en-US" w:eastAsia="en-US" w:bidi="ar-SA"/>
                <w:rFonts w:ascii="Times New Roman" w:hAnsi="Times New Roman" w:eastAsia="Times New Roman" w:cs="Times New Roman"/>
                <w:b/>
              </w:rPr>
              <w:t>23</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092" w:type="dxa"/>
          </w:tcPr>
          <w:p>
            <w:pPr>
              <w:pStyle w:val="Normal"/>
            </w:pPr>
            <w:r>
              <w:rPr>
                <w:sz w:val="24"/>
                <w:szCs w:val="22"/>
                <w:lang w:val="en-US" w:eastAsia="en-US" w:bidi="ar-SA"/>
                <w:rFonts w:ascii="Times New Roman" w:hAnsi="Times New Roman" w:eastAsia="Times New Roman" w:cs="Times New Roman"/>
                <w:b/>
              </w:rPr>
              <w:t>62.5%</w:t>
            </w:r>
          </w:p>
        </w:tc>
        <w:tc>
          <w:tcPr>
            <w:tcW w:w="1280" w:type="dxa"/>
          </w:tcPr>
          <w:p>
            <w:pPr>
              <w:pStyle w:val="Normal"/>
            </w:pPr>
            <w:r>
              <w:rPr>
                <w:sz w:val="24"/>
                <w:szCs w:val="22"/>
                <w:lang w:val="en-US" w:eastAsia="en-US" w:bidi="ar-SA"/>
                <w:rFonts w:ascii="Times New Roman" w:hAnsi="Times New Roman" w:eastAsia="Times New Roman" w:cs="Times New Roman"/>
                <w:b/>
              </w:rPr>
              <w:t>38.6–81.5%*</w:t>
            </w:r>
          </w:p>
        </w:tc>
        <w:tc>
          <w:tcPr>
            <w:tcW w:w="605" w:type="dxa"/>
          </w:tcPr>
          <w:p>
            <w:pPr>
              <w:pStyle w:val="Normal"/>
            </w:pPr>
            <w:r>
              <w:rPr>
                <w:sz w:val="24"/>
                <w:szCs w:val="22"/>
                <w:lang w:val="en-US" w:eastAsia="en-US" w:bidi="ar-SA"/>
                <w:rFonts w:ascii="Times New Roman" w:hAnsi="Times New Roman" w:eastAsia="Times New Roman" w:cs="Times New Roman"/>
                <w:b/>
              </w:rPr>
              <w:t>16</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092" w:type="dxa"/>
          </w:tcPr>
          <w:p>
            <w:pPr>
              <w:pStyle w:val="Normal"/>
            </w:pPr>
            <w:r>
              <w:rPr>
                <w:szCs w:val="22"/>
                <w:lang w:val="en-US" w:eastAsia="en-US" w:bidi="ar-SA"/>
                <w:rFonts w:ascii="Times New Roman" w:hAnsi="Times New Roman" w:eastAsia="Times New Roman" w:cs="Times New Roman"/>
                <w:sz w:val="24"/>
              </w:rPr>
              <w:t>14.6%</w:t>
            </w:r>
          </w:p>
        </w:tc>
        <w:tc>
          <w:tcPr>
            <w:tcW w:w="1280" w:type="dxa"/>
          </w:tcPr>
          <w:p>
            <w:pPr>
              <w:pStyle w:val="Normal"/>
            </w:pPr>
            <w:r>
              <w:rPr>
                <w:szCs w:val="22"/>
                <w:lang w:val="en-US" w:eastAsia="en-US" w:bidi="ar-SA"/>
                <w:rFonts w:ascii="Times New Roman" w:hAnsi="Times New Roman" w:eastAsia="Times New Roman" w:cs="Times New Roman"/>
                <w:sz w:val="24"/>
              </w:rPr>
              <w:t>6.9–28.4%*</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092" w:type="dxa"/>
          </w:tcPr>
          <w:p>
            <w:pPr>
              <w:pStyle w:val="Normal"/>
            </w:pPr>
            <w:r>
              <w:rPr>
                <w:sz w:val="24"/>
                <w:szCs w:val="22"/>
                <w:lang w:val="en-US" w:eastAsia="en-US" w:bidi="ar-SA"/>
                <w:rFonts w:ascii="Times New Roman" w:hAnsi="Times New Roman" w:eastAsia="Times New Roman" w:cs="Times New Roman"/>
                <w:b/>
              </w:rPr>
              <w:t>71.7%</w:t>
            </w:r>
          </w:p>
        </w:tc>
        <w:tc>
          <w:tcPr>
            <w:tcW w:w="1280" w:type="dxa"/>
          </w:tcPr>
          <w:p>
            <w:pPr>
              <w:pStyle w:val="Normal"/>
            </w:pPr>
            <w:r>
              <w:rPr>
                <w:sz w:val="24"/>
                <w:szCs w:val="22"/>
                <w:lang w:val="en-US" w:eastAsia="en-US" w:bidi="ar-SA"/>
                <w:rFonts w:ascii="Times New Roman" w:hAnsi="Times New Roman" w:eastAsia="Times New Roman" w:cs="Times New Roman"/>
                <w:b/>
              </w:rPr>
              <w:t>63.0–79.0%*</w:t>
            </w:r>
          </w:p>
        </w:tc>
        <w:tc>
          <w:tcPr>
            <w:tcW w:w="605" w:type="dxa"/>
          </w:tcPr>
          <w:p>
            <w:pPr>
              <w:pStyle w:val="Normal"/>
            </w:pPr>
            <w:r>
              <w:rPr>
                <w:sz w:val="24"/>
                <w:szCs w:val="22"/>
                <w:lang w:val="en-US" w:eastAsia="en-US" w:bidi="ar-SA"/>
                <w:rFonts w:ascii="Times New Roman" w:hAnsi="Times New Roman" w:eastAsia="Times New Roman" w:cs="Times New Roman"/>
                <w:b/>
              </w:rPr>
              <w:t>120</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092" w:type="dxa"/>
          </w:tcPr>
          <w:p>
            <w:pPr>
              <w:pStyle w:val="Normal"/>
            </w:pPr>
            <w:r>
              <w:rPr>
                <w:szCs w:val="22"/>
                <w:lang w:val="en-US" w:eastAsia="en-US" w:bidi="ar-SA"/>
                <w:rFonts w:ascii="Times New Roman" w:hAnsi="Times New Roman" w:eastAsia="Times New Roman" w:cs="Times New Roman"/>
                <w:sz w:val="24"/>
              </w:rPr>
              <w:t>56.1%</w:t>
            </w:r>
          </w:p>
        </w:tc>
        <w:tc>
          <w:tcPr>
            <w:tcW w:w="1280" w:type="dxa"/>
          </w:tcPr>
          <w:p>
            <w:pPr>
              <w:pStyle w:val="Normal"/>
            </w:pPr>
            <w:r>
              <w:rPr>
                <w:szCs w:val="22"/>
                <w:lang w:val="en-US" w:eastAsia="en-US" w:bidi="ar-SA"/>
                <w:rFonts w:ascii="Times New Roman" w:hAnsi="Times New Roman" w:eastAsia="Times New Roman" w:cs="Times New Roman"/>
                <w:sz w:val="24"/>
              </w:rPr>
              <w:t>41.0–70.1%*</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092" w:type="dxa"/>
          </w:tcPr>
          <w:p>
            <w:pPr>
              <w:pStyle w:val="Normal"/>
            </w:pPr>
            <w:r>
              <w:rPr>
                <w:szCs w:val="22"/>
                <w:lang w:val="en-US" w:eastAsia="en-US" w:bidi="ar-SA"/>
                <w:rFonts w:ascii="Times New Roman" w:hAnsi="Times New Roman" w:eastAsia="Times New Roman" w:cs="Times New Roman"/>
                <w:sz w:val="24"/>
              </w:rPr>
              <w:t>29.3 pp</w:t>
            </w:r>
          </w:p>
        </w:tc>
        <w:tc>
          <w:tcPr>
            <w:tcW w:w="1280" w:type="dxa"/>
          </w:tcPr>
          <w:p>
            <w:pPr>
              <w:pStyle w:val="Normal"/>
            </w:pPr>
            <w:r>
              <w:rPr>
                <w:sz w:val="24"/>
                <w:szCs w:val="22"/>
                <w:lang w:val="en-US" w:eastAsia="en-US" w:bidi="ar-SA"/>
                <w:rFonts w:ascii="Times New Roman" w:hAnsi="Times New Roman" w:eastAsia="Times New Roman" w:cs="Times New Roman"/>
                <w:b/>
              </w:rPr>
              <w:t>see note</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Cs w:val="22"/>
                <w:lang w:val="en-US" w:eastAsia="en-US" w:bidi="ar-SA"/>
                <w:rFonts w:ascii="Times New Roman" w:hAnsi="Times New Roman" w:eastAsia="Times New Roman" w:cs="Times New Roman"/>
                <w:sz w:val="24"/>
              </w:rPr>
              <w:t>Difference between distinct outcomes (85.4%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pPr>
        <w:pStyle w:val="Normal"/>
        <w:spacing w:after="20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7 Discussion: Adaptive Learning as the Behavioural-Change Driver</w:t>
      </w:r>
      <w:bookmarkEnd w:id="111"/>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7.1 Why the Empirical Programme Forces Adaptive Learning</w:t>
      </w:r>
    </w:p>
    <w:p>
      <w:pPr>
        <w:pStyle w:val="Normal"/>
        <w:jc w:val="both"/>
      </w:pPr>
      <w:r>
        <w:rPr>
          <w:szCs w:val="22"/>
          <w:lang w:val="en-US" w:eastAsia="en-US" w:bidi="ar-SA"/>
          <w:rFonts w:ascii="Times New Roman" w:hAnsi="Times New Roman" w:eastAsia="Times New Roman" w:cs="Times New Roman"/>
          <w:sz w:val="24"/>
        </w:rP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pPr>
        <w:pStyle w:val="Normal"/>
        <w:jc w:val="both"/>
      </w:pPr>
      <w:r>
        <w:rPr>
          <w:szCs w:val="22"/>
          <w:lang w:val="en-US" w:eastAsia="en-US" w:bidi="ar-SA"/>
          <w:rFonts w:ascii="Times New Roman" w:hAnsi="Times New Roman" w:eastAsia="Times New Roman" w:cs="Times New Roman"/>
          <w:sz w:val="24"/>
        </w:rP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pPr>
        <w:pStyle w:val="Heading2"/>
      </w:pPr>
      <w:bookmarkStart w:id="112" w:name="_Toc23202460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pPr>
        <w:pStyle w:val="Normal"/>
        <w:jc w:val="both"/>
      </w:pPr>
      <w:r>
        <w:rPr>
          <w:szCs w:val="22"/>
          <w:lang w:val="en-US" w:eastAsia="en-US" w:bidi="ar-SA"/>
          <w:rFonts w:ascii="Times New Roman" w:hAnsi="Times New Roman" w:eastAsia="Times New Roman" w:cs="Times New Roman"/>
          <w:sz w:val="24"/>
        </w:rP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7.4 Formalising the Discovery: The Adaptive-Learning Framework</w:t>
      </w:r>
      <w:bookmarkEnd w:id="113"/>
    </w:p>
    <w:p>
      <w:pPr>
        <w:pStyle w:val="Normal"/>
        <w:jc w:val="both"/>
      </w:pPr>
      <w:r>
        <w:rPr>
          <w:szCs w:val="22"/>
          <w:lang w:val="en-US" w:eastAsia="en-US" w:bidi="ar-SA"/>
          <w:rFonts w:ascii="Times New Roman" w:hAnsi="Times New Roman" w:eastAsia="Times New Roman" w:cs="Times New Roman"/>
          <w:sz w:val="24"/>
        </w:rP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pPr>
        <w:pStyle w:val="Normal"/>
      </w:pPr>
      <w:r>
        <w:rPr>
          <w:szCs w:val="22"/>
          <w:lang w:val="en-US" w:eastAsia="en-US" w:bidi="ar-SA"/>
          <w:rFonts w:ascii="Times New Roman" w:hAnsi="Times New Roman" w:eastAsia="Times New Roman" w:cs="Times New Roman"/>
          <w:sz w:val="24"/>
        </w:rPr>
        <w:t>Why exactly three principles, and not two or four? The number and identity of the principles follow from the structure of the failure-appraisal chain that the FIAS account identifies,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empirical record indicates what happens then: the Stage-2 build already carried a partial calibration implementation, yet non-return occurred while the frame and target links were untreated; and Stage 3 treated the target link alone, which was associated with restored post-failure return but left the commitment gap open. More than three would duplicate a lever rather than add one: the candidate additions the programme examined — zero-failure presentation, social scaffolding, reward scheduling — decompose into presentation-layer or parameter choices within the three links, which is why zero-failure presentation appears above as the element P1 and P3 share rather than as a fourth principle. The framework is therefore jointly exhaustive over the appraisal chain, individually non-redundant, and anchored link by link to the observed failure modes.</w:t>
      </w:r>
    </w:p>
    <w:p>
      <w:pPr>
        <w:pStyle w:val="FigureCaption"/>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0" w:type="auto"/>
        <w:jc w:val="center"/>
        <w:tblLook w:val="04A0" w:firstRow="1" w:lastRow="0" w:firstColumn="1" w:lastColumn="0" w:noHBand="0" w:noVBand="1"/>
      </w:tblPr>
      <w:tblGrid>
        <w:gridCol w:w="2833"/>
        <w:gridCol w:w="2831"/>
        <w:gridCol w:w="2831"/>
      </w:tblGrid>
      <w:tr>
        <w:trPr>
          <w:jc w:val="center"/>
        </w:trPr>
        <w:tc>
          <w:tcPr>
            <w:tcW w:w="2833" w:type="dxa"/>
          </w:tcPr>
          <w:p>
            <w:pPr>
              <w:pStyle w:val="Normal"/>
            </w:pPr>
            <w:r>
              <w:rPr>
                <w:b/>
                <w:sz w:val="20"/>
                <w:szCs w:val="22"/>
                <w:lang w:val="en-US" w:eastAsia="en-US" w:bidi="ar-SA"/>
                <w:rFonts w:ascii="Times New Roman" w:hAnsi="Times New Roman" w:eastAsia="Times New Roman" w:cs="Times New Roman"/>
              </w:rPr>
              <w:t>Principle</w:t>
            </w:r>
          </w:p>
        </w:tc>
        <w:tc>
          <w:tcPr>
            <w:tcW w:w="2831" w:type="dxa"/>
          </w:tcPr>
          <w:p>
            <w:pPr>
              <w:pStyle w:val="Normal"/>
            </w:pPr>
            <w:r>
              <w:rPr>
                <w:b/>
                <w:sz w:val="20"/>
                <w:szCs w:val="22"/>
                <w:lang w:val="en-US" w:eastAsia="en-US" w:bidi="ar-SA"/>
                <w:rFonts w:ascii="Times New Roman" w:hAnsi="Times New Roman" w:eastAsia="Times New Roman" w:cs="Times New Roman"/>
              </w:rPr>
              <w:t>What it does</w:t>
            </w:r>
          </w:p>
        </w:tc>
        <w:tc>
          <w:tcPr>
            <w:tcW w:w="2831" w:type="dxa"/>
          </w:tcPr>
          <w:p>
            <w:pPr>
              <w:pStyle w:val="Normal"/>
            </w:pPr>
            <w:r>
              <w:rPr>
                <w:b/>
                <w:sz w:val="20"/>
                <w:szCs w:val="22"/>
                <w:lang w:val="en-US" w:eastAsia="en-US" w:bidi="ar-SA"/>
                <w:rFonts w:ascii="Times New Roman" w:hAnsi="Times New Roman" w:eastAsia="Times New Roman" w:cs="Times New Roman"/>
              </w:rPr>
              <w:t>Empirical anchor</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P1 Identity Disentanglement</w:t>
            </w:r>
          </w:p>
        </w:tc>
        <w:tc>
          <w:tcPr>
            <w:tcW w:w="2831" w:type="dxa"/>
          </w:tcPr>
          <w:p>
            <w:pPr>
              <w:pStyle w:val="Normal"/>
            </w:pPr>
            <w:r>
              <w:rPr>
                <w:sz w:val="20"/>
                <w:szCs w:val="22"/>
                <w:lang w:val="en-US" w:eastAsia="en-US" w:bidi="ar-SA"/>
                <w:rFonts w:ascii="Times New Roman" w:hAnsi="Times New Roman" w:eastAsia="Times New Roman" w:cs="Times New Roman"/>
              </w:rPr>
              <w:t>Removes the cue that sorts the activity into the user's health account</w:t>
            </w:r>
          </w:p>
        </w:tc>
        <w:tc>
          <w:tcPr>
            <w:tcW w:w="2831" w:type="dxa"/>
          </w:tcPr>
          <w:p>
            <w:pPr>
              <w:pStyle w:val="Normal"/>
            </w:pPr>
            <w:r>
              <w:rPr>
                <w:szCs w:val="22"/>
                <w:lang w:val="en-US" w:eastAsia="en-US" w:bidi="ar-SA"/>
                <w:rFonts w:ascii="Times New Roman" w:hAnsi="Times New Roman" w:eastAsia="Times New Roman" w:cs="Times New Roman"/>
                <w:sz w:val="24"/>
              </w:rPr>
              <w:t>Motivated by higher post-failure return in the separate Stage-3 decoupled cohort</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P2 Trajectory Installation</w:t>
            </w:r>
          </w:p>
        </w:tc>
        <w:tc>
          <w:tcPr>
            <w:tcW w:w="2831" w:type="dxa"/>
          </w:tcPr>
          <w:p>
            <w:pPr>
              <w:pStyle w:val="Normal"/>
            </w:pPr>
            <w:r>
              <w:rPr>
                <w:sz w:val="20"/>
                <w:szCs w:val="22"/>
                <w:lang w:val="en-US" w:eastAsia="en-US" w:bidi="ar-SA"/>
                <w:rFonts w:ascii="Times New Roman" w:hAnsi="Times New Roman" w:eastAsia="Times New Roman" w:cs="Times New Roman"/>
              </w:rPr>
              <w:t>Makes a dynamic self-concept trajectory the reference point against which performance is read</w:t>
            </w:r>
          </w:p>
        </w:tc>
        <w:tc>
          <w:tcPr>
            <w:tcW w:w="2831"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causal mechanism untested</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P3 Adaptive Calibration</w:t>
            </w:r>
          </w:p>
        </w:tc>
        <w:tc>
          <w:tcPr>
            <w:tcW w:w="2831" w:type="dxa"/>
          </w:tcPr>
          <w:p>
            <w:pPr>
              <w:pStyle w:val="Normal"/>
            </w:pPr>
            <w:r>
              <w:rPr>
                <w:sz w:val="20"/>
                <w:szCs w:val="22"/>
                <w:lang w:val="en-US" w:eastAsia="en-US" w:bidi="ar-SA"/>
                <w:rFonts w:ascii="Times New Roman" w:hAnsi="Times New Roman" w:eastAsia="Times New Roman" w:cs="Times New Roman"/>
              </w:rPr>
              <w:t>Continuously matches challenge, feedback affect and pacing to the user's position</w:t>
            </w:r>
          </w:p>
        </w:tc>
        <w:tc>
          <w:tcPr>
            <w:tcW w:w="2831" w:type="dxa"/>
          </w:tcPr>
          <w:p>
            <w:pPr>
              <w:pStyle w:val="Normal"/>
            </w:pPr>
            <w:r>
              <w:rPr>
                <w:szCs w:val="22"/>
                <w:lang w:val="en-US" w:eastAsia="en-US" w:bidi="ar-SA"/>
                <w:rFonts w:ascii="Times New Roman" w:hAnsi="Times New Roman" w:eastAsia="Times New Roman" w:cs="Times New Roman"/>
                <w:sz w:val="24"/>
              </w:rPr>
              <w:t>Partial difficulty adaptation in Stage 2; complete principle untested</w:t>
            </w:r>
          </w:p>
        </w:tc>
      </w:tr>
    </w:tbl>
    <w:p>
      <w:pPr>
        <w:pStyle w:val="Normal"/>
        <w:spacing w:after="40"/>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pPr>
        <w:pStyle w:val="Heading2"/>
      </w:pPr>
      <w:bookmarkStart w:id="115" w:name="_Toc23202460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 Prototype Stack: Engineering-Actionable Implementation</w:t>
      </w:r>
      <w:bookmarkEnd w:id="115"/>
    </w:p>
    <w:p>
      <w:pPr>
        <w:pStyle w:val="Normal"/>
        <w:jc w:val="both"/>
      </w:pPr>
      <w:r>
        <w:rPr>
          <w:szCs w:val="22"/>
          <w:lang w:val="en-US" w:eastAsia="en-US" w:bidi="ar-SA"/>
          <w:rFonts w:ascii="Times New Roman" w:hAnsi="Times New Roman" w:eastAsia="Times New Roman" w:cs="Times New Roman"/>
          <w:sz w:val="24"/>
        </w:rP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pPr>
        <w:pStyle w:val="Heading3"/>
      </w:pPr>
      <w:bookmarkStart w:id="116" w:name="_Toc23202460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7.5.1 Reference Stack</w:t>
      </w:r>
      <w:bookmarkEnd w:id="116"/>
    </w:p>
    <w:p>
      <w:pPr>
        <w:pStyle w:val="FigureCaption"/>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0"/>
              </w:rPr>
              <w:t>Layer</w:t>
            </w:r>
          </w:p>
        </w:tc>
        <w:tc>
          <w:tcPr>
            <w:tcW w:w="3118" w:type="dxa"/>
          </w:tcPr>
          <w:p>
            <w:pPr>
              <w:pStyle w:val="Normal"/>
            </w:pPr>
            <w:r>
              <w:rPr>
                <w:b/>
                <w:sz w:val="20"/>
                <w:szCs w:val="22"/>
                <w:lang w:val="en-US" w:eastAsia="en-US" w:bidi="ar-SA"/>
                <w:rFonts w:ascii="Times New Roman" w:hAnsi="Times New Roman" w:eastAsia="Times New Roman" w:cs="Times New Roman"/>
              </w:rPr>
              <w:t>Component</w:t>
            </w:r>
          </w:p>
        </w:tc>
        <w:tc>
          <w:tcPr>
            <w:tcW w:w="1700" w:type="dxa"/>
          </w:tcPr>
          <w:p>
            <w:pPr>
              <w:pStyle w:val="Normal"/>
            </w:pPr>
            <w:r>
              <w:rPr>
                <w:b/>
                <w:sz w:val="20"/>
                <w:szCs w:val="22"/>
                <w:lang w:val="en-US" w:eastAsia="en-US" w:bidi="ar-SA"/>
                <w:rFonts w:ascii="Times New Roman" w:hAnsi="Times New Roman" w:eastAsia="Times New Roman" w:cs="Times New Roman"/>
              </w:rPr>
              <w:t>The adaptive-learning framework principle served</w:t>
            </w:r>
          </w:p>
        </w:tc>
        <w:tc>
          <w:tcPr>
            <w:tcW w:w="2126" w:type="dxa"/>
          </w:tcPr>
          <w:p>
            <w:pPr>
              <w:pStyle w:val="Normal"/>
            </w:pPr>
            <w:r>
              <w:rPr>
                <w:b/>
                <w:sz w:val="20"/>
                <w:szCs w:val="22"/>
                <w:lang w:val="en-US" w:eastAsia="en-US" w:bidi="ar-SA"/>
                <w:rFonts w:ascii="Times New Roman" w:hAnsi="Times New Roman" w:eastAsia="Times New Roman" w:cs="Times New Roman"/>
              </w:rPr>
              <w:t>Implementation note</w:t>
            </w:r>
          </w:p>
        </w:tc>
      </w:tr>
      <w:tr w:rsidR="0062437E" w14:paraId="15D407AF"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L0 Sensor</w:t>
            </w:r>
          </w:p>
        </w:tc>
        <w:tc>
          <w:tcPr>
            <w:tcW w:w="3118" w:type="dxa"/>
          </w:tcPr>
          <w:p>
            <w:pPr>
              <w:pStyle w:val="Normal"/>
            </w:pPr>
            <w:r>
              <w:rPr>
                <w:sz w:val="20"/>
                <w:szCs w:val="22"/>
                <w:lang w:val="en-US" w:eastAsia="en-US" w:bidi="ar-SA"/>
                <w:rFonts w:ascii="Times New Roman" w:hAnsi="Times New Roman" w:eastAsia="Times New Roman" w:cs="Times New Roman"/>
              </w:rPr>
              <w:t>InBody pressure panel; same hardware as Stage 2 and 3</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Existing capital; no replacement cost</w:t>
            </w:r>
          </w:p>
        </w:tc>
      </w:tr>
      <w:tr w:rsidR="0062437E" w14:paraId="4A27D47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L1 Game Engine</w:t>
            </w:r>
          </w:p>
        </w:tc>
        <w:tc>
          <w:tcPr>
            <w:tcW w:w="3118" w:type="dxa"/>
          </w:tcPr>
          <w:p>
            <w:pPr>
              <w:pStyle w:val="Normal"/>
            </w:pPr>
            <w:r>
              <w:rPr>
                <w:sz w:val="20"/>
                <w:szCs w:val="22"/>
                <w:lang w:val="en-US" w:eastAsia="en-US" w:bidi="ar-SA"/>
                <w:rFonts w:ascii="Times New Roman" w:hAnsi="Times New Roman" w:eastAsia="Times New Roman" w:cs="Times New Roman"/>
              </w:rPr>
              <w:t>Pygame skiing task generated through Anthropic Claude Code</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Prompt-driven regeneration; clinician-editable difficulty curves</w:t>
            </w:r>
          </w:p>
        </w:tc>
      </w:tr>
      <w:tr w:rsidR="0062437E" w14:paraId="6EA12EA5"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L2 AI Adaptation</w:t>
            </w:r>
          </w:p>
        </w:tc>
        <w:tc>
          <w:tcPr>
            <w:tcW w:w="3118" w:type="dxa"/>
          </w:tcPr>
          <w:p>
            <w:pPr>
              <w:pStyle w:val="Normal"/>
            </w:pPr>
            <w:r>
              <w:rPr>
                <w:sz w:val="20"/>
                <w:szCs w:val="22"/>
                <w:lang w:val="en-US" w:eastAsia="en-US" w:bidi="ar-SA"/>
                <w:rFonts w:ascii="Times New Roman" w:hAnsi="Times New Roman" w:eastAsia="Times New Roman" w:cs="Times New Roman"/>
              </w:rPr>
              <w:t>Claude API + LangChain runtime; obstacle density, speed, feedback affect</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Extended from difficulty-only to feedback-affect adaptation</w:t>
            </w:r>
          </w:p>
        </w:tc>
      </w:tr>
      <w:tr w:rsidR="0062437E" w14:paraId="09D406A7"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L3 Logging</w:t>
            </w:r>
          </w:p>
        </w:tc>
        <w:tc>
          <w:tcPr>
            <w:tcW w:w="3118" w:type="dxa"/>
          </w:tcPr>
          <w:p>
            <w:pPr>
              <w:pStyle w:val="Normal"/>
            </w:pPr>
            <w:r>
              <w:rPr>
                <w:sz w:val="20"/>
                <w:szCs w:val="22"/>
                <w:lang w:val="en-US" w:eastAsia="en-US" w:bidi="ar-SA"/>
                <w:rFonts w:ascii="Times New Roman" w:hAnsi="Times New Roman" w:eastAsia="Times New Roman" w:cs="Times New Roman"/>
              </w:rPr>
              <w:t>Cycle counts, COP traces, session affect, dropout flags</w:t>
            </w:r>
          </w:p>
        </w:tc>
        <w:tc>
          <w:tcPr>
            <w:tcW w:w="1700" w:type="dxa"/>
          </w:tcPr>
          <w:p>
            <w:pPr>
              <w:pStyle w:val="Normal"/>
            </w:pPr>
            <w:r>
              <w:rPr>
                <w:sz w:val="20"/>
                <w:szCs w:val="22"/>
                <w:lang w:val="en-US" w:eastAsia="en-US" w:bidi="ar-SA"/>
                <w:rFonts w:ascii="Times New Roman" w:hAnsi="Times New Roman" w:eastAsia="Times New Roman" w:cs="Times New Roman"/>
              </w:rPr>
              <w:t>P2/P3</w:t>
            </w:r>
          </w:p>
        </w:tc>
        <w:tc>
          <w:tcPr>
            <w:tcW w:w="2126" w:type="dxa"/>
          </w:tcPr>
          <w:p>
            <w:pPr>
              <w:pStyle w:val="Normal"/>
            </w:pPr>
            <w:r>
              <w:rPr>
                <w:sz w:val="20"/>
                <w:szCs w:val="22"/>
                <w:lang w:val="en-US" w:eastAsia="en-US" w:bidi="ar-SA"/>
                <w:rFonts w:ascii="Times New Roman" w:hAnsi="Times New Roman" w:eastAsia="Times New Roman" w:cs="Times New Roman"/>
              </w:rPr>
              <w:t>Existing</w:t>
            </w:r>
          </w:p>
        </w:tc>
      </w:tr>
      <w:tr w:rsidR="0062437E" w14:paraId="559E62E6"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L4 Clinical Output</w:t>
            </w:r>
          </w:p>
        </w:tc>
        <w:tc>
          <w:tcPr>
            <w:tcW w:w="3118" w:type="dxa"/>
          </w:tcPr>
          <w:p>
            <w:pPr>
              <w:pStyle w:val="Normal"/>
            </w:pPr>
            <w:r>
              <w:rPr>
                <w:sz w:val="20"/>
                <w:szCs w:val="22"/>
                <w:lang w:val="en-US" w:eastAsia="en-US" w:bidi="ar-SA"/>
                <w:rFonts w:ascii="Times New Roman" w:hAnsi="Times New Roman" w:eastAsia="Times New Roman" w:cs="Times New Roman"/>
              </w:rPr>
              <w:t>Pre/post FRA indices for clinician review (background)</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Hidden from participant under P1 frame</w:t>
            </w:r>
          </w:p>
        </w:tc>
      </w:tr>
      <w:tr w:rsidR="0062437E" w14:paraId="4C2EBEA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L5 User-Facing Trajectory</w:t>
            </w:r>
          </w:p>
        </w:tc>
        <w:tc>
          <w:tcPr>
            <w:tcW w:w="3118" w:type="dxa"/>
          </w:tcPr>
          <w:p>
            <w:pPr>
              <w:pStyle w:val="Normal"/>
            </w:pPr>
            <w:r>
              <w:rPr>
                <w:sz w:val="20"/>
                <w:szCs w:val="22"/>
                <w:lang w:val="en-US" w:eastAsia="en-US" w:bidi="ar-SA"/>
                <w:rFonts w:ascii="Times New Roman" w:hAnsi="Times New Roman" w:eastAsia="Times New Roman" w:cs="Times New Roman"/>
              </w:rPr>
              <w:t>Progress visualisation that emphasises movement; past sessions framed as steps</w:t>
            </w:r>
          </w:p>
        </w:tc>
        <w:tc>
          <w:tcPr>
            <w:tcW w:w="1700" w:type="dxa"/>
          </w:tcPr>
          <w:p>
            <w:pPr>
              <w:pStyle w:val="Normal"/>
            </w:pPr>
            <w:r>
              <w:rPr>
                <w:sz w:val="20"/>
                <w:szCs w:val="22"/>
                <w:lang w:val="en-US" w:eastAsia="en-US" w:bidi="ar-SA"/>
                <w:rFonts w:ascii="Times New Roman" w:hAnsi="Times New Roman" w:eastAsia="Times New Roman" w:cs="Times New Roman"/>
              </w:rPr>
              <w:t>P2</w:t>
            </w:r>
          </w:p>
        </w:tc>
        <w:tc>
          <w:tcPr>
            <w:tcW w:w="2126" w:type="dxa"/>
          </w:tcPr>
          <w:p>
            <w:pPr>
              <w:pStyle w:val="Normal"/>
            </w:pPr>
            <w:r>
              <w:rPr>
                <w:sz w:val="20"/>
                <w:szCs w:val="22"/>
                <w:lang w:val="en-US" w:eastAsia="en-US" w:bidi="ar-SA"/>
                <w:rFonts w:ascii="Times New Roman" w:hAnsi="Times New Roman" w:eastAsia="Times New Roman" w:cs="Times New Roman"/>
              </w:rPr>
              <w:t>New; HTML overlay or device companion screen; no clinical numbers exposed</w:t>
            </w:r>
          </w:p>
        </w:tc>
      </w:tr>
      <w:tr w:rsidR="0062437E" w14:paraId="0C1FEED8"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L6 Staff Coaching Protocol</w:t>
            </w:r>
          </w:p>
        </w:tc>
        <w:tc>
          <w:tcPr>
            <w:tcW w:w="3118" w:type="dxa"/>
          </w:tcPr>
          <w:p>
            <w:pPr>
              <w:pStyle w:val="Normal"/>
            </w:pPr>
            <w:r>
              <w:rPr>
                <w:sz w:val="20"/>
                <w:szCs w:val="22"/>
                <w:lang w:val="en-US" w:eastAsia="en-US" w:bidi="ar-SA"/>
                <w:rFonts w:ascii="Times New Roman" w:hAnsi="Times New Roman" w:eastAsia="Times New Roman" w:cs="Times New Roman"/>
              </w:rPr>
              <w:t>Mastery-language scripts; reframing scripts; intervention triggers based on L2 telemetry</w:t>
            </w:r>
          </w:p>
        </w:tc>
        <w:tc>
          <w:tcPr>
            <w:tcW w:w="1700" w:type="dxa"/>
          </w:tcPr>
          <w:p>
            <w:pPr>
              <w:pStyle w:val="Normal"/>
            </w:pPr>
            <w:r>
              <w:rPr>
                <w:sz w:val="20"/>
                <w:szCs w:val="22"/>
                <w:lang w:val="en-US" w:eastAsia="en-US" w:bidi="ar-SA"/>
                <w:rFonts w:ascii="Times New Roman" w:hAnsi="Times New Roman" w:eastAsia="Times New Roman" w:cs="Times New Roman"/>
              </w:rPr>
              <w:t>P1/P2</w:t>
            </w:r>
          </w:p>
        </w:tc>
        <w:tc>
          <w:tcPr>
            <w:tcW w:w="2126" w:type="dxa"/>
          </w:tcPr>
          <w:p>
            <w:pPr>
              <w:pStyle w:val="Normal"/>
            </w:pPr>
            <w:r>
              <w:rPr>
                <w:sz w:val="20"/>
                <w:szCs w:val="22"/>
                <w:lang w:val="en-US" w:eastAsia="en-US" w:bidi="ar-SA"/>
                <w:rFonts w:ascii="Times New Roman" w:hAnsi="Times New Roman" w:eastAsia="Times New Roman" w:cs="Times New Roman"/>
              </w:rPr>
              <w:t>New; staff training day required; checklists and language cards</w:t>
            </w:r>
          </w:p>
        </w:tc>
      </w:tr>
      <w:tr w:rsidR="0062437E" w14:paraId="05267031"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L7 Adaptive-Learning Telemetry</w:t>
            </w:r>
          </w:p>
        </w:tc>
        <w:tc>
          <w:tcPr>
            <w:tcW w:w="3118" w:type="dxa"/>
          </w:tcPr>
          <w:p>
            <w:pPr>
              <w:pStyle w:val="Normal"/>
            </w:pPr>
            <w:r>
              <w:rPr>
                <w:sz w:val="20"/>
                <w:szCs w:val="22"/>
                <w:lang w:val="en-US" w:eastAsia="en-US" w:bidi="ar-SA"/>
                <w:rFonts w:ascii="Times New Roman" w:hAnsi="Times New Roman" w:eastAsia="Times New Roman" w:cs="Times New Roman"/>
              </w:rPr>
              <w:t>Frame-indicator log; account-closure binary; coaching-trigger log; pre/post entropy measure</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New; required for the model-comparison plan in §6.10</w:t>
            </w:r>
          </w:p>
        </w:tc>
      </w:tr>
    </w:tbl>
    <w:p>
      <w:pPr>
        <w:pStyle w:val="Normal"/>
        <w:spacing w:after="40"/>
      </w:pPr>
    </w:p>
    <w:p>
      <w:pPr>
        <w:pStyle w:val="Normal"/>
        <w:keepNext/>
        <w:spacing w:before="160" w:after="40"/>
        <w:jc w:val="center"/>
      </w:pPr>
      <w:r>
        <w:drawing>
          <wp:inlin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pPr>
        <w:pStyle w:val="FigureCaption"/>
        <w:jc w:val="center"/>
      </w:pPr>
      <w:bookmarkStart w:id="118" w:name="_Toc232024692"/>
      <w:r>
        <w:rPr>
          <w:sz w:val="24"/>
          <w:szCs w:val="22"/>
          <w:lang w:val="en-US" w:eastAsia="en-US" w:bidi="ar-SA"/>
          <w:rFonts w:ascii="Times New Roman" w:hAnsi="Times New Roman" w:eastAsia="Times New Roman" w:cs="Times New Roman"/>
          <w:i/>
          <w:b/>
        </w:rPr>
        <w:t>Figure 7.1. adaptive-learning reference stack: existing five-layer FRA architecture (L0–L4) extended with three additional layers (L5 User-Facing Trajectory; L6 Staff Coaching Protocol; L7 Adaptive-Learning Telemetry).</w:t>
      </w:r>
      <w:bookmarkEnd w:id="118"/>
    </w:p>
    <w:p>
      <w:pPr>
        <w:pStyle w:val="Heading3"/>
      </w:pPr>
      <w:bookmarkStart w:id="119" w:name="_Toc23202460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7.5.2 Trajectory Visualisation Specification</w:t>
      </w:r>
      <w:bookmarkEnd w:id="119"/>
    </w:p>
    <w:p>
      <w:pPr>
        <w:pStyle w:val="Normal"/>
        <w:jc w:val="both"/>
      </w:pPr>
      <w:r>
        <w:rPr>
          <w:szCs w:val="22"/>
          <w:lang w:val="en-US" w:eastAsia="en-US" w:bidi="ar-SA"/>
          <w:rFonts w:ascii="Times New Roman" w:hAnsi="Times New Roman" w:eastAsia="Times New Roman" w:cs="Times New Roman"/>
          <w:sz w:val="24"/>
        </w:rP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pPr>
        <w:pStyle w:val="Heading3"/>
      </w:pPr>
      <w:bookmarkStart w:id="120" w:name="_Toc23202460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standardised, culturally adapted and audited for fidelity; coaching should not pressure a participant who chooses not to continue. The expert consultation of §6.8A independently supports this layer from community practice: in Dr Yuan's programmes, a coach or assistant who leads the participant past a failure is what converts failure-linked dropout into continued participation, and partnering and group formats further reduce dropout — grounds for evaluating a group-deployment variant of this protocol in the §8.8 study.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7.5A One Architecture: Phenomenon, Principles, Engine</w:t>
      </w:r>
    </w:p>
    <w:p>
      <w:pPr>
        <w:pStyle w:val="Normal"/>
      </w:pPr>
      <w:r>
        <w:rPr>
          <w:szCs w:val="22"/>
          <w:lang w:val="en-US" w:eastAsia="en-US" w:bidi="ar-SA"/>
          <w:rFonts w:ascii="Times New Roman" w:hAnsi="Times New Roman" w:eastAsia="Times New Roman" w:cs="Times New Roman"/>
          <w:sz w:val="24"/>
        </w:rPr>
        <w:t>The programme's outputs are best read as a single behavioural-engineering architecture rather than as three related ideas. FIAS is the phenomenon layer: it names and explains why older users disengage after failure — a post-contact behaviour driven by identity-level appraisal, characterised across Chapters 4–6. The adaptive-learning framework is the principle layer: it states how systems should be redesigned so that the disengagement is not produced, through identity disentanglement, trajectory installation and adaptive calibration (§7.4). The dynamic game-state architecture of §5.3.10 is the engine layer: it operationalises the principles in real time, monitoring the live performance-state vector and selecting among non-terminal states within pre-specified safety limits, so that the design response arrives at the moment the phenomenon would otherwise begin (§7.6A).</w:t>
      </w:r>
    </w:p>
    <w:p>
      <w:pPr>
        <w:pStyle w:val="Normal"/>
      </w:pPr>
      <w:r>
        <w:rPr>
          <w:szCs w:val="22"/>
          <w:lang w:val="en-US" w:eastAsia="en-US" w:bidi="ar-SA"/>
          <w:rFonts w:ascii="Times New Roman" w:hAnsi="Times New Roman" w:eastAsia="Times New Roman" w:cs="Times New Roman"/>
          <w:sz w:val="24"/>
        </w:rPr>
        <w:t>The evidence supports each layer to a different degree, and the architecture inherits those gradations rather than smoothing them over. The phenomenon layer rests on the observed Stage-1 and Stage-2 record, and its frame-sensitivity is indicated — not isolated — by the Stage-3 comparison. The principle layer is derived from that record and from the learning-theory literature, and has not yet been evaluated as a package. The engine layer is an implemented specification whose behavioural effect is untested; its evaluation is pre-specified in §8.8. Stating the three as one architecture does not strengthen any single claim — it fixes where each claim lives, and it is what turns a set of findings into a design theory an engineering team can build against.</w:t>
      </w:r>
    </w:p>
    <w:p>
      <w:pPr>
        <w:pStyle w:val="Heading2"/>
      </w:pPr>
      <w:bookmarkStart w:id="121" w:name="_Toc23202460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 Applied Case Studies</w:t>
      </w:r>
      <w:bookmarkEnd w:id="121"/>
    </w:p>
    <w:p>
      <w:pPr>
        <w:pStyle w:val="Heading3"/>
      </w:pPr>
      <w:bookmarkStart w:id="122" w:name="_Toc23202461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7.6A Dynamic Game States as a Loss-Free Mechanic: Reflecting the Literature-Review Knowledge Gaps</w:t>
      </w:r>
      <w:bookmarkEnd w:id="126"/>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pPr>
        <w:pStyle w:val="Heading2"/>
      </w:pPr>
      <w:bookmarkStart w:id="127" w:name="_Toc23202461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t>executed, the generalisability of the framework beyond Chinese-cultural settings is an argued expectation, not a demonstrated result.</w:t>
      </w:r>
    </w:p>
    <w:p>
      <w:pPr>
        <w:pStyle w:val="Heading2"/>
      </w:pPr>
      <w:bookmarkStart w:id="128" w:name="_Toc23202461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pPr>
        <w:pStyle w:val="Heading2"/>
      </w:pPr>
      <w:bookmarkStart w:id="129" w:name="_Toc23202461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7.9 Adaptive Learning as Continuous Improvement: Closing the Loop to the EngD Topic</w:t>
      </w:r>
      <w:bookmarkEnd w:id="129"/>
    </w:p>
    <w:p>
      <w:pPr>
        <w:pStyle w:val="Normal"/>
        <w:jc w:val="both"/>
      </w:pPr>
      <w:r>
        <w:rPr>
          <w:szCs w:val="22"/>
          <w:lang w:val="en-US" w:eastAsia="en-US" w:bidi="ar-SA"/>
          <w:rFonts w:ascii="Times New Roman" w:hAnsi="Times New Roman" w:eastAsia="Times New Roman" w:cs="Times New Roman"/>
          <w:sz w:val="24"/>
        </w:rP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pPr>
        <w:pStyle w:val="Normal"/>
        <w:jc w:val="both"/>
      </w:pPr>
      <w:r>
        <w:rPr>
          <w:szCs w:val="22"/>
          <w:lang w:val="en-US" w:eastAsia="en-US" w:bidi="ar-SA"/>
          <w:rFonts w:ascii="Times New Roman" w:hAnsi="Times New Roman" w:eastAsia="Times New Roman" w:cs="Times New Roman"/>
          <w:sz w:val="24"/>
        </w:rP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never as assessment — a decoupled frame arrived at by commercial instinct; and the engagement scaffold is explicitly social, anticipating the group-dynamics mechanism raised in the §6.8A consultation. What the model does not contain is the layer this thesis contributes: GrandPad avoids threatening frames by carrying no clinical measurement at all, whereas the present programme concerns technologies that must measure while remaining bearable. The comparator therefore marks a boundary in the design space: engagement without clinical purpose is commercially solved; engagement with clinical purpose intact is the open problem the adaptive-learning framework addresses.</w:t>
      </w:r>
    </w:p>
    <w:p>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(§8.8),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r>
        <w:t>Read as a boundary case, the comparator also sharpens what commercial gerontechnology has so far left unaddressed, and locates this programme's contribution to gerontology as AI-enabled health technology arrives. Three omissions matter. First, the avoided middle: the market divides into clinical instruments that measure but are abandoned (the FRA of Chapter 4) and consumer platforms that engage but do not measure (the GrandPad class); the technologies that population ageing actually requires — instruments that assess fall risk, cognition and function, repeatedly and acceptably — sit in the middle that both poles avoid. Second, the missing failure model: GrandPad-class design treats disengagement as a usability and access problem and answers it by minimising occasions for failure; it carries no account of what an adverse result does to an older user's self-concept, because it never delivers one. Curated ease also caps challenge, and with it the mastery experiences on which learning and flow depend (Csikszentmihalyi, 1990; Vygotsky, 1978).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make individually calibrated challenge inexpensive to implement at scale — the enabling technology for the Chapter 7 framework — but the same wave is filling gerontechnology with continuous monitoring, risk scores and predictions: more verdicts about ageing bodies, delivered more often, to the population this thesis shows may respond to unfavourable verdicts by leaving permanently. Without a behavioural layer, AI-era gerontechnology risks industrialising the abandonment pattern documented here. The programme's contribution to gerontology is that layer: FIAS names the failure mode that verdict-bearing technology must design against; the Stage-3 frame-sensitivity evidence indicates where the leverage lies; and the adaptive-learning framework specifies how a measuring technology can remain bearable — challenge calibrated to the person, results presented as a trajectory, coaching absorbing the failure moment. The gamified FRA is the working demonstration that the middle ground is occupiable: one physical action that plays and measures, made returnable-to by design. In an AI decade, that is the difference between health technologies older adults live with and health technologies that fall silent (§8.6B).</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8 Contributions, Alternative Explanations, Limitations and Ethics</w:t>
      </w:r>
      <w:bookmarkEnd w:id="130"/>
    </w:p>
    <w:p>
      <w:pPr>
        <w:pStyle w:val="Normal"/>
      </w:pPr>
      <w:r>
        <w:rPr>
          <w:szCs w:val="22"/>
          <w:lang w:val="en-US" w:eastAsia="en-US" w:bidi="ar-SA"/>
          <w:rFonts w:ascii="Times New Roman" w:hAnsi="Times New Roman" w:eastAsia="Times New Roman" w:cs="Times New Roman"/>
          <w:sz w:val="24"/>
        </w:rPr>
        <w:t>This chapter states the contributions in four distinct registers and is explicit about which is which, because the four answer to different tests. A scientific contribution is judged by whether it explains observed behaviour and survives attempts to refute it; an engineering contribution by whether a competent team can build from it; an industrial contribution by whether it changes a deployment decision; and a methodological contribution by whether other researchers can reuse the method. Table 8.0 maps the thesis's contributions onto the four registers and the sections that state them; the sections that follow then present each in the hierarchy the evidence supports.</w:t>
      </w:r>
    </w:p>
    <w:p>
      <w:pPr>
        <w:pStyle w:val="FigureCaption"/>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auto" w:w="0"/>
        <w:tblLook w:firstColumn="1" w:firstRow="1" w:lastColumn="0" w:lastRow="0" w:noHBand="0" w:noVBand="1" w:val="04A0"/>
      </w:tblPr>
      <w:tblGrid>
        <w:gridCol w:w="2835"/>
        <w:gridCol w:w="2835"/>
        <w:gridCol w:w="2835"/>
      </w:tblGrid>
      <w:tr>
        <w:tc>
          <w:tcPr>
            <w:tcW w:type="dxa" w:w="2835"/>
          </w:tcPr>
          <w:p>
            <w:pPr>
              <w:pStyle w:val="Normal"/>
            </w:pPr>
            <w:r>
              <w:rPr>
                <w:b/>
                <w:sz w:val="24"/>
                <w:szCs w:val="22"/>
                <w:lang w:val="en-US" w:eastAsia="en-US" w:bidi="ar-SA"/>
                <w:rFonts w:ascii="Times New Roman" w:hAnsi="Times New Roman" w:eastAsia="Times New Roman" w:cs="Times New Roman"/>
              </w:rPr>
              <w:t>Register</w:t>
            </w:r>
          </w:p>
        </w:tc>
        <w:tc>
          <w:tcPr>
            <w:tcW w:type="dxa" w:w="2835"/>
          </w:tcPr>
          <w:p>
            <w:pPr>
              <w:pStyle w:val="Normal"/>
            </w:pPr>
            <w:r>
              <w:rPr>
                <w:b/>
                <w:sz w:val="24"/>
                <w:szCs w:val="22"/>
                <w:lang w:val="en-US" w:eastAsia="en-US" w:bidi="ar-SA"/>
                <w:rFonts w:ascii="Times New Roman" w:hAnsi="Times New Roman" w:eastAsia="Times New Roman" w:cs="Times New Roman"/>
              </w:rPr>
              <w:t>Contribution</w:t>
            </w:r>
          </w:p>
        </w:tc>
        <w:tc>
          <w:tcPr>
            <w:tcW w:type="dxa" w:w="2835"/>
          </w:tcPr>
          <w:p>
            <w:pPr>
              <w:pStyle w:val="Normal"/>
            </w:pPr>
            <w:r>
              <w:rPr>
                <w:b/>
                <w:sz w:val="24"/>
                <w:szCs w:val="22"/>
                <w:lang w:val="en-US" w:eastAsia="en-US" w:bidi="ar-SA"/>
                <w:rFonts w:ascii="Times New Roman" w:hAnsi="Times New Roman" w:eastAsia="Times New Roman" w:cs="Times New Roman"/>
              </w:rPr>
              <w:t>Stated in</w:t>
            </w:r>
          </w:p>
        </w:tc>
      </w:tr>
      <w:tr>
        <w:tc>
          <w:tcPr>
            <w:tcW w:type="dxa" w:w="2835"/>
          </w:tcPr>
          <w:p>
            <w:pPr>
              <w:pStyle w:val="Normal"/>
            </w:pPr>
            <w:r>
              <w:rPr>
                <w:sz w:val="24"/>
                <w:szCs w:val="22"/>
                <w:lang w:val="en-US" w:eastAsia="en-US" w:bidi="ar-SA"/>
                <w:rFonts w:ascii="Times New Roman" w:hAnsi="Times New Roman" w:eastAsia="Times New Roman" w:cs="Times New Roman"/>
              </w:rPr>
              <w:t>Scientific</w:t>
            </w:r>
          </w:p>
        </w:tc>
        <w:tc>
          <w:tcPr>
            <w:tcW w:type="dxa" w:w="2835"/>
          </w:tcPr>
          <w:p>
            <w:pPr>
              <w:pStyle w:val="Normal"/>
            </w:pPr>
            <w:r>
              <w:rPr>
                <w:sz w:val="24"/>
                <w:szCs w:val="22"/>
                <w:lang w:val="en-US" w:eastAsia="en-US" w:bidi="ar-SA"/>
                <w:rFonts w:ascii="Times New Roman" w:hAnsi="Times New Roman" w:eastAsia="Times New Roman" w:cs="Times New Roman"/>
              </w:rPr>
              <w:t>FIAS as a provisional behavioural construct; the coupling boundary condition for gamification theory; the competing-appraisal account (endowment protection versus learning trajectory)</w:t>
            </w:r>
          </w:p>
        </w:tc>
        <w:tc>
          <w:tcPr>
            <w:tcW w:type="dxa" w:w="2835"/>
          </w:tcPr>
          <w:p>
            <w:pPr>
              <w:pStyle w:val="Normal"/>
            </w:pPr>
            <w:r>
              <w:rPr>
                <w:sz w:val="24"/>
                <w:szCs w:val="22"/>
                <w:lang w:val="en-US" w:eastAsia="en-US" w:bidi="ar-SA"/>
                <w:rFonts w:ascii="Times New Roman" w:hAnsi="Times New Roman" w:eastAsia="Times New Roman" w:cs="Times New Roman"/>
              </w:rPr>
              <w:t>§8.1, §8.3; Chs 2, 9</w:t>
            </w:r>
          </w:p>
        </w:tc>
      </w:tr>
      <w:tr>
        <w:tc>
          <w:tcPr>
            <w:tcW w:type="dxa" w:w="2835"/>
          </w:tcPr>
          <w:p>
            <w:pPr>
              <w:pStyle w:val="Normal"/>
            </w:pPr>
            <w:r>
              <w:rPr>
                <w:sz w:val="24"/>
                <w:szCs w:val="22"/>
                <w:lang w:val="en-US" w:eastAsia="en-US" w:bidi="ar-SA"/>
                <w:rFonts w:ascii="Times New Roman" w:hAnsi="Times New Roman" w:eastAsia="Times New Roman" w:cs="Times New Roman"/>
              </w:rPr>
              <w:t>Engineering</w:t>
            </w:r>
          </w:p>
        </w:tc>
        <w:tc>
          <w:tcPr>
            <w:tcW w:type="dxa" w:w="2835"/>
          </w:tcPr>
          <w:p>
            <w:pPr>
              <w:pStyle w:val="Normal"/>
            </w:pPr>
            <w:r>
              <w:rPr>
                <w:sz w:val="24"/>
                <w:szCs w:val="22"/>
                <w:lang w:val="en-US" w:eastAsia="en-US" w:bidi="ar-SA"/>
                <w:rFonts w:ascii="Times New Roman" w:hAnsi="Times New Roman" w:eastAsia="Times New Roman" w:cs="Times New Roman"/>
              </w:rPr>
              <w:t>The adaptive-learning framework — three principles over the failure-appraisal chain — and the dynamic game-state engine that operationalises it in real time</w:t>
            </w:r>
          </w:p>
        </w:tc>
        <w:tc>
          <w:tcPr>
            <w:tcW w:type="dxa" w:w="2835"/>
          </w:tcPr>
          <w:p>
            <w:pPr>
              <w:pStyle w:val="Normal"/>
            </w:pPr>
            <w:r>
              <w:rPr>
                <w:sz w:val="24"/>
                <w:szCs w:val="22"/>
                <w:lang w:val="en-US" w:eastAsia="en-US" w:bidi="ar-SA"/>
                <w:rFonts w:ascii="Times New Roman" w:hAnsi="Times New Roman" w:eastAsia="Times New Roman" w:cs="Times New Roman"/>
              </w:rPr>
              <w:t>Ch 7 (§7.4, §7.5, §7.5A); §8.4</w:t>
            </w:r>
          </w:p>
        </w:tc>
      </w:tr>
      <w:tr>
        <w:tc>
          <w:tcPr>
            <w:tcW w:type="dxa" w:w="2835"/>
          </w:tcPr>
          <w:p>
            <w:pPr>
              <w:pStyle w:val="Normal"/>
            </w:pPr>
            <w:r>
              <w:rPr>
                <w:sz w:val="24"/>
                <w:szCs w:val="22"/>
                <w:lang w:val="en-US" w:eastAsia="en-US" w:bidi="ar-SA"/>
                <w:rFonts w:ascii="Times New Roman" w:hAnsi="Times New Roman" w:eastAsia="Times New Roman" w:cs="Times New Roman"/>
              </w:rPr>
              <w:t>Industrial</w:t>
            </w:r>
          </w:p>
        </w:tc>
        <w:tc>
          <w:tcPr>
            <w:tcW w:type="dxa" w:w="2835"/>
          </w:tcPr>
          <w:p>
            <w:pPr>
              <w:pStyle w:val="Normal"/>
            </w:pPr>
            <w:r>
              <w:rPr>
                <w:sz w:val="24"/>
                <w:szCs w:val="22"/>
                <w:lang w:val="en-US" w:eastAsia="en-US" w:bidi="ar-SA"/>
                <w:rFonts w:ascii="Times New Roman" w:hAnsi="Times New Roman" w:eastAsia="Times New Roman" w:cs="Times New Roman"/>
              </w:rPr>
              <w:t>A deployment template on existing FRA infrastructure (decoupled presentation, trajectory layer, staff protocol) and addressable-population evidence for planning</w:t>
            </w:r>
          </w:p>
        </w:tc>
        <w:tc>
          <w:tcPr>
            <w:tcW w:type="dxa" w:w="2835"/>
          </w:tcPr>
          <w:p>
            <w:pPr>
              <w:pStyle w:val="Normal"/>
            </w:pPr>
            <w:r>
              <w:rPr>
                <w:sz w:val="24"/>
                <w:szCs w:val="22"/>
                <w:lang w:val="en-US" w:eastAsia="en-US" w:bidi="ar-SA"/>
                <w:rFonts w:ascii="Times New Roman" w:hAnsi="Times New Roman" w:eastAsia="Times New Roman" w:cs="Times New Roman"/>
              </w:rPr>
              <w:t>§8.4; §9.8</w:t>
            </w:r>
          </w:p>
        </w:tc>
      </w:tr>
      <w:tr>
        <w:tc>
          <w:tcPr>
            <w:tcW w:type="dxa" w:w="2835"/>
          </w:tcPr>
          <w:p>
            <w:pPr>
              <w:pStyle w:val="Normal"/>
            </w:pPr>
            <w:r>
              <w:rPr>
                <w:sz w:val="24"/>
                <w:szCs w:val="22"/>
                <w:lang w:val="en-US" w:eastAsia="en-US" w:bidi="ar-SA"/>
                <w:rFonts w:ascii="Times New Roman" w:hAnsi="Times New Roman" w:eastAsia="Times New Roman" w:cs="Times New Roman"/>
              </w:rPr>
              <w:t>Methodological</w:t>
            </w:r>
          </w:p>
        </w:tc>
        <w:tc>
          <w:tcPr>
            <w:tcW w:type="dxa" w:w="2835"/>
          </w:tcPr>
          <w:p>
            <w:pPr>
              <w:pStyle w:val="Normal"/>
            </w:pPr>
            <w:r>
              <w:rPr>
                <w:sz w:val="24"/>
                <w:szCs w:val="22"/>
                <w:lang w:val="en-US" w:eastAsia="en-US" w:bidi="ar-SA"/>
                <w:rFonts w:ascii="Times New Roman" w:hAnsi="Times New Roman" w:eastAsia="Times New Roman" w:cs="Times New Roman"/>
              </w:rPr>
              <w:t>The null-hypothesis-plus-attribution architecture; the dual-purpose mechanic; the QFD evidence-to-design pipeline; the commitment-gap measurement</w:t>
            </w:r>
          </w:p>
        </w:tc>
        <w:tc>
          <w:tcPr>
            <w:tcW w:type="dxa" w:w="2835"/>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the evidence supports a boundary condition for gamification theory: the theory holds for older adults, as Stage 3 indicates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 Read together, the contributions form one behavioural-engineering architecture — the phenomenon (FIAS), the principles (the adaptive-learning framework) and the engine (the dynamic game-state architecture) — as set out in §7.5A.</w:t>
      </w:r>
    </w:p>
    <w:p>
      <w:pPr>
        <w:pStyle w:val="Heading2"/>
      </w:pPr>
      <w:bookmarkStart w:id="132" w:name="_Toc23202462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AI-assisted development workflow (recorded as enabling method, §5.3.9);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pPr>
        <w:pStyle w:val="Heading2"/>
      </w:pPr>
      <w:bookmarkStart w:id="133" w:name="_Toc23202462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pPr>
        <w:pStyle w:val="Heading2"/>
      </w:pPr>
      <w:bookmarkStart w:id="135" w:name="_Toc23202462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8.4A A Forward-Looking Contribution: The Language-Mode Boundary and Grounded Adaptive Learning</w:t>
      </w:r>
      <w:bookmarkEnd w:id="135"/>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rather than declaring them ruled out. Eight alternatives are considered below; several remain viable because the present design is between-cohort. The expert consultation of §6.8A bears on this examination in both directions: it supplies independent support for the clinical-avoidance reading, and it identifies group and coach support as candidate moderators of post-failure continuation that the future within-cohort study should record and, where feasible, standardise.</w:t>
      </w:r>
    </w:p>
    <w:p>
      <w:pPr>
        <w:pStyle w:val="Heading3"/>
      </w:pPr>
      <w:bookmarkStart w:id="137" w:name="_Toc23202462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pPr>
        <w:pStyle w:val="Heading3"/>
      </w:pPr>
      <w:bookmarkStart w:id="143" w:name="_Toc23202463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failure occurred through the body's own balance — weight shifts on the pressure panel — whereas in Stage 3 most participants steered with a trackpad or arrow keys (§6.3). The difference between the stages may therefore reflect not only the changed participant-facing frame but also the changed carrier of failure: a failure produced by one's own balance may speak more directly to bodily decline than a failure produced by one's fingers. Response: this alternative is viable, and the present between-cohort design does not separate it from the framing account. It is, however, partly absorbed into the coupling account itself, because the bodily measurement pathway is precisely what the dual-purpose mechanic couples to the game (§5.2A): removing the pressure panel removed the clinical frame and the embodied exposure together. The within-cohort study of §8.8 treats the game, the input device and the frame as independently manipulable factors, so that the contributions of framing and of input modality can be estimated separately.</w:t>
      </w:r>
    </w:p>
    <w:p>
      <w:pPr>
        <w:pStyle w:val="Heading2"/>
      </w:pPr>
      <w:bookmarkStart w:id="144" w:name="_Toc23202463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pPr>
        <w:pStyle w:val="Heading2"/>
      </w:pPr>
      <w:bookmarkStart w:id="145" w:name="_Toc23202463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8.6A A Seventh Limitation: The Language-Mode Boundary of the Layer-2 AI</w:t>
      </w:r>
      <w:bookmarkEnd w:id="145"/>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8.6B Extending the Unit of Analysis: Abandonment as a Three-Party Decision</w:t>
      </w:r>
    </w:p>
    <w:p>
      <w:pPr>
        <w:pStyle w:val="Normal"/>
      </w:pPr>
      <w:r>
        <w:rPr>
          <w:szCs w:val="22"/>
          <w:lang w:val="en-US" w:eastAsia="en-US" w:bidi="ar-SA"/>
          <w:rFonts w:ascii="Times New Roman" w:hAnsi="Times New Roman" w:eastAsia="Times New Roman" w:cs="Times New Roman"/>
          <w:sz w:val="24"/>
        </w:rP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pPr>
        <w:pStyle w:val="Normal"/>
      </w:pPr>
      <w:r>
        <w:rPr>
          <w:szCs w:val="22"/>
          <w:lang w:val="en-US" w:eastAsia="en-US" w:bidi="ar-SA"/>
          <w:rFonts w:ascii="Times New Roman" w:hAnsi="Times New Roman" w:eastAsia="Times New Roman" w:cs="Times New Roman"/>
          <w:sz w:val="24"/>
        </w:rP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were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pPr>
        <w:pStyle w:val="Heading2"/>
      </w:pPr>
      <w:bookmarkStart w:id="146" w:name="_Toc23202463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8.7 Ethical Considerations</w:t>
      </w:r>
      <w:bookmarkEnd w:id="146"/>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t>voluntary participation with no consequence for refusal; and difficulty curves calibrated so that even the worst-balance participant could complete an opening session.</w:t>
      </w:r>
    </w:p>
    <w:p>
      <w:pPr>
        <w:pStyle w:val="Heading3"/>
      </w:pPr>
      <w:bookmarkStart w:id="148" w:name="_Toc23202463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pPr>
        <w:pStyle w:val="Heading3"/>
      </w:pPr>
      <w:bookmarkStart w:id="150" w:name="_Toc23202463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pPr>
        <w:pStyle w:val="Heading3"/>
      </w:pPr>
      <w:bookmarkStart w:id="151" w:name="_Toc23202463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8.8 Future Research</w:t>
      </w:r>
      <w:bookmarkEnd w:id="152"/>
    </w:p>
    <w:p>
      <w:pPr>
        <w:pStyle w:val="Normal"/>
        <w:jc w:val="both"/>
      </w:pPr>
      <w:r>
        <w:rPr>
          <w:i w:val="0"/>
          <w:szCs w:val="22"/>
          <w:lang w:val="en-US" w:eastAsia="en-US" w:bidi="ar-SA"/>
          <w:rFonts w:ascii="Times New Roman" w:hAnsi="Times New Roman" w:eastAsia="Times New Roman" w:cs="Times New Roman"/>
          <w:sz w:val="24"/>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pPr>
        <w:pStyle w:val="Heading2"/>
      </w:pPr>
      <w:bookmarkStart w:id="153" w:name="_Toc23202464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comprises the de-identified Stage-2 and Stage-3 datasets, a data dictionary, the derived-variable code, the fixed game-state specification, the numerical integration parameters, the software version, the analysis scripts and the exact questionnaire versions, bound in Appendix G;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Third, the appendices bind the verbatim language versions of all instruments, the translation procedure, the complete FIAS codebook with inter-coder reliability, the consent materials and the photographic record.</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Chapter 9 Conclusion</w:t>
      </w:r>
      <w:bookmarkEnd w:id="154"/>
    </w:p>
    <w:p>
      <w:pPr>
        <w:pStyle w:val="Heading2"/>
      </w:pPr>
      <w:bookmarkStart w:id="155" w:name="_Toc23202464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pPr>
        <w:pStyle w:val="Heading2"/>
      </w:pPr>
      <w:bookmarkStart w:id="156" w:name="_Toc23202464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9.3 The Central Finding: Evidence Consistent with a Coupling or Framing Effect</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pPr>
        <w:pStyle w:val="Normal"/>
        <w:jc w:val="both"/>
      </w:pPr>
      <w:r>
        <w:rPr>
          <w:szCs w:val="22"/>
          <w:lang w:val="en-US" w:eastAsia="en-US" w:bidi="ar-SA"/>
          <w:rFonts w:ascii="Times New Roman" w:hAnsi="Times New Roman" w:eastAsia="Times New Roman" w:cs="Times New Roman"/>
          <w:sz w:val="24"/>
        </w:rP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pPr>
        <w:pStyle w:val="Normal"/>
        <w:jc w:val="both"/>
      </w:pPr>
      <w:r>
        <w:rPr>
          <w:szCs w:val="22"/>
          <w:lang w:val="en-US" w:eastAsia="en-US" w:bidi="ar-SA"/>
          <w:rFonts w:ascii="Times New Roman" w:hAnsi="Times New Roman" w:eastAsia="Times New Roman" w:cs="Times New Roman"/>
          <w:sz w:val="24"/>
        </w:rP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pPr>
        <w:pStyle w:val="Heading2"/>
      </w:pPr>
      <w:bookmarkStart w:id="157" w:name="_Toc23202464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9.4 Decoupling Preserves the Viability of Game Theory for Elderly Engagement</w:t>
      </w:r>
      <w:bookmarkEnd w:id="157"/>
    </w:p>
    <w:p>
      <w:pPr>
        <w:pStyle w:val="Normal"/>
        <w:jc w:val="both"/>
      </w:pPr>
      <w:r>
        <w:rPr>
          <w:szCs w:val="22"/>
          <w:lang w:val="en-US" w:eastAsia="en-US" w:bidi="ar-SA"/>
          <w:rFonts w:ascii="Times New Roman" w:hAnsi="Times New Roman" w:eastAsia="Times New Roman" w:cs="Times New Roman"/>
          <w:sz w:val="24"/>
        </w:rPr>
        <w:t>A second conclusion is that the Stage-3 results are consistent with gamification theory remaining applicable to elderly engagement. Stage 3 functioned as the programme's positive control (§6.1): the same game mechanics, decoupled from the clinical apparatus and its participant-facing clinical frame (§6.3), were accepted by the elderly cohort at levels the gamification literature predicts — consistent with the theory stack of Chapter 2, including the An–Cheung demonstration, transferring to this population.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pPr>
        <w:pStyle w:val="Normal"/>
        <w:jc w:val="both"/>
      </w:pPr>
      <w:r>
        <w:rPr>
          <w:szCs w:val="22"/>
          <w:lang w:val="en-US" w:eastAsia="en-US" w:bidi="ar-SA"/>
          <w:rFonts w:ascii="Times New Roman" w:hAnsi="Times New Roman" w:eastAsia="Times New Roman" w:cs="Times New Roman"/>
          <w:sz w:val="24"/>
        </w:rP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9.5 Adaptive Learning as the Design Counter</w:t>
      </w:r>
      <w:bookmarkEnd w:id="158"/>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9.7 Theoretical Contributions</w:t>
      </w:r>
      <w:bookmarkEnd w:id="159"/>
    </w:p>
    <w:p>
      <w:pPr>
        <w:pStyle w:val="Normal"/>
        <w:jc w:val="both"/>
      </w:pPr>
      <w:r>
        <w:rPr>
          <w:i w:val="0"/>
          <w:szCs w:val="22"/>
          <w:lang w:val="en-US" w:eastAsia="en-US" w:bidi="ar-SA"/>
          <w:rFonts w:ascii="Times New Roman" w:hAnsi="Times New Roman" w:eastAsia="Times New Roman" w:cs="Times New Roman"/>
          <w:sz w:val="24"/>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pPr>
        <w:pStyle w:val="Heading2"/>
      </w:pPr>
      <w:bookmarkStart w:id="160" w:name="_Toc2320246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pPr>
        <w:pStyle w:val="Normal"/>
        <w:jc w:val="both"/>
      </w:pPr>
      <w:r>
        <w:rPr>
          <w:szCs w:val="22"/>
          <w:lang w:val="en-US" w:eastAsia="en-US" w:bidi="ar-SA"/>
          <w:rFonts w:ascii="Times New Roman" w:hAnsi="Times New Roman" w:eastAsia="Times New Roman" w:cs="Times New Roman"/>
          <w:sz w:val="24"/>
        </w:rP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pPr>
        <w:pStyle w:val="Normal"/>
        <w:jc w:val="both"/>
      </w:pPr>
      <w:r>
        <w:rPr>
          <w:szCs w:val="22"/>
          <w:lang w:val="en-US" w:eastAsia="en-US" w:bidi="ar-SA"/>
          <w:rFonts w:ascii="Times New Roman" w:hAnsi="Times New Roman" w:eastAsia="Times New Roman" w:cs="Times New Roman"/>
          <w:sz w:val="24"/>
        </w:rP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pPr>
        <w:pStyle w:val="Heading2"/>
      </w:pPr>
      <w:bookmarkStart w:id="161" w:name="_Toc2320246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t>evaluated in the empirical programme,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that accelerated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t>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pPr>
              <w:pStyle w:val="Normal"/>
            </w:pPr>
            <w:r>
              <w:rPr>
                <w:b/>
                <w:sz w:val="24"/>
                <w:szCs w:val="22"/>
                <w:lang w:val="en-US" w:eastAsia="en-US" w:bidi="ar-SA"/>
                <w:rFonts w:ascii="Times New Roman" w:hAnsi="Times New Roman" w:eastAsia="Times New Roman" w:cs="Times New Roman"/>
              </w:rPr>
              <w:t>Dimension</w:t>
            </w:r>
          </w:p>
        </w:tc>
        <w:tc>
          <w:tcPr>
            <w:tcW w:w="2976" w:type="dxa"/>
          </w:tcPr>
          <w:p>
            <w:pPr>
              <w:pStyle w:val="Normal"/>
            </w:pPr>
            <w:r>
              <w:rPr>
                <w:szCs w:val="22"/>
                <w:lang w:val="en-US" w:eastAsia="en-US" w:bidi="ar-SA"/>
                <w:rFonts w:ascii="Times New Roman" w:hAnsi="Times New Roman" w:eastAsia="Times New Roman" w:cs="Times New Roman"/>
                <w:sz w:val="24"/>
              </w:rPr>
              <w:t>Deployed Stage-2 adaptation configuration</w:t>
            </w:r>
          </w:p>
        </w:tc>
        <w:tc>
          <w:tcPr>
            <w:tcW w:w="3969" w:type="dxa"/>
          </w:tcPr>
          <w:p>
            <w:pPr>
              <w:pStyle w:val="Normal"/>
            </w:pPr>
            <w:r>
              <w:rPr>
                <w:szCs w:val="22"/>
                <w:lang w:val="en-US" w:eastAsia="en-US" w:bidi="ar-SA"/>
                <w:rFonts w:ascii="Times New Roman" w:hAnsi="Times New Roman" w:eastAsia="Times New Roman" w:cs="Times New Roman"/>
                <w:sz w:val="24"/>
              </w:rPr>
              <w:t>Proposed person-conditioned extension</w:t>
            </w:r>
          </w:p>
        </w:tc>
      </w:tr>
      <w:tr w:rsidR="0062437E" w14:paraId="2864A92A"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2976"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969"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Input at run time</w:t>
            </w:r>
          </w:p>
        </w:tc>
        <w:tc>
          <w:tcPr>
            <w:tcW w:w="2976"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969" w:type="dxa"/>
          </w:tcPr>
          <w:p>
            <w:pPr>
              <w:pStyle w:val="Normal"/>
            </w:pPr>
            <w:r>
              <w:rPr>
                <w:sz w:val="24"/>
                <w:szCs w:val="22"/>
                <w:lang w:val="en-US" w:eastAsia="en-US" w:bidi="ar-SA"/>
                <w:rFonts w:ascii="Times New Roman" w:hAnsi="Times New Roman" w:eastAsia="Times New Roman" w:cs="Times New Roman"/>
              </w:rPr>
              <w:t>Instant physical and behavioural signals, plus telemetry, captured as they occur</w:t>
            </w:r>
          </w:p>
        </w:tc>
      </w:tr>
      <w:tr w:rsidR="0062437E" w14:paraId="34C88DFE"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Timescale</w:t>
            </w:r>
          </w:p>
        </w:tc>
        <w:tc>
          <w:tcPr>
            <w:tcW w:w="2976"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969" w:type="dxa"/>
          </w:tcPr>
          <w:p>
            <w:pPr>
              <w:pStyle w:val="Normal"/>
            </w:pPr>
            <w:r>
              <w:rPr>
                <w:sz w:val="24"/>
                <w:szCs w:val="22"/>
                <w:lang w:val="en-US" w:eastAsia="en-US" w:bidi="ar-SA"/>
                <w:rFonts w:ascii="Times New Roman" w:hAnsi="Times New Roman" w:eastAsia="Times New Roman" w:cs="Times New Roman"/>
              </w:rPr>
              <w:t>Continuous: perception at one-second cadence; action within seconds of the event</w:t>
            </w:r>
          </w:p>
        </w:tc>
      </w:tr>
      <w:tr w:rsidR="0062437E" w14:paraId="4DDCCB00"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Object of learning</w:t>
            </w:r>
          </w:p>
        </w:tc>
        <w:tc>
          <w:tcPr>
            <w:tcW w:w="2976"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969" w:type="dxa"/>
          </w:tcPr>
          <w:p>
            <w:pPr>
              <w:pStyle w:val="Normal"/>
            </w:pPr>
            <w:r>
              <w:rPr>
                <w:szCs w:val="22"/>
                <w:lang w:val="en-US" w:eastAsia="en-US" w:bidi="ar-SA"/>
                <w:rFonts w:ascii="Times New Roman" w:hAnsi="Times New Roman" w:eastAsia="Times New Roman" w:cs="Times New Roman"/>
                <w:sz w:val="24"/>
              </w:rPr>
              <w:t>A person-specific state estimate updated during interaction</w:t>
            </w:r>
          </w:p>
        </w:tc>
      </w:tr>
      <w:tr w:rsidR="0062437E" w14:paraId="34FEE616"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Output</w:t>
            </w:r>
          </w:p>
        </w:tc>
        <w:tc>
          <w:tcPr>
            <w:tcW w:w="2976"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969"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4"/>
              </w:rPr>
              <w:t>Feedback channel</w:t>
            </w:r>
          </w:p>
        </w:tc>
        <w:tc>
          <w:tcPr>
            <w:tcW w:w="2976"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969"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2976"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969"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Theoretical anchors</w:t>
            </w:r>
          </w:p>
        </w:tc>
        <w:tc>
          <w:tcPr>
            <w:tcW w:w="2976"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969"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Evaluation criterion</w:t>
            </w:r>
          </w:p>
        </w:tc>
        <w:tc>
          <w:tcPr>
            <w:tcW w:w="2976"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969"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pPr>
        <w:pStyle w:val="Heading2"/>
      </w:pPr>
      <w:bookmarkStart w:id="163" w:name="_Toc23202466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pPr>
        <w:pStyle w:val="Heading2"/>
      </w:pPr>
      <w:bookmarkStart w:id="164" w:name="_Toc23202466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 xml:space="preserve">Stage 3 showed that post-failure return was common in a separate decoupled cohort, including among adults aged 65-80. It would be inappropriate to estimate that "roughly two" of the three F4 residents would have returned under decoupling, because the studies </w:t>
        <w:t>are not individual-level counterfactuals and the samples differ. The defensible conclusion is that the Stage-3 pattern makes non-return appear modifiable and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pPr>
        <w:pStyle w:val="Normal"/>
        <w:jc w:val="both"/>
      </w:pPr>
      <w:r>
        <w:rPr>
          <w:szCs w:val="22"/>
          <w:lang w:val="en-US" w:eastAsia="en-US" w:bidi="ar-SA"/>
          <w:rFonts w:ascii="Times New Roman" w:hAnsi="Times New Roman" w:eastAsia="Times New Roman" w:cs="Times New Roman"/>
          <w:sz w:val="24"/>
        </w:rP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 Read as one architecture, the chain closes: FIAS supplies the phenomenon, the adaptive-learning framework the design principles, and the dynamic game-state engine the real-time implementation (§7.5A).</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References</w:t>
      </w:r>
      <w:bookmarkEnd w:id="166"/>
    </w:p>
    <w:p>
      <w:pPr>
        <w:pStyle w:val="Normal"/>
      </w:pPr>
      <w:r>
        <w:rPr>
          <w:szCs w:val="22"/>
          <w:lang w:val="en-US" w:eastAsia="en-US" w:bidi="ar-SA"/>
          <w:rFonts w:ascii="Times New Roman" w:hAnsi="Times New Roman" w:eastAsia="Times New Roman" w:cs="Times New Roman"/>
          <w:sz w:val="24"/>
        </w:rPr>
        <w:t>Akao, Y. (1990). Quality function deployment: Integrating customer requirements into product design. Productivity Press.</w:t>
      </w:r>
    </w:p>
    <w:p>
      <w:pPr>
        <w:pStyle w:val="Normal"/>
        <w:ind w:left="720" w:hanging="720"/>
        <w:jc w:val="both"/>
      </w:pPr>
      <w:r>
        <w:rPr>
          <w:szCs w:val="22"/>
          <w:lang w:val="en-US" w:eastAsia="en-US" w:bidi="ar-SA"/>
          <w:rFonts w:ascii="Times New Roman" w:hAnsi="Times New Roman" w:eastAsia="Times New Roman" w:cs="Times New Roman"/>
          <w:sz w:val="24"/>
        </w:rPr>
        <w:t>Altmeyer, M., Lessel, P., &amp; Krüger, A. (2018). Investigating gamification for seniors aged 75+. In Proceedings of the 2018 Designing Interactive Systems Conference (pp. 453–458). ACM. https://doi.org/10.1145/3196709.3196799</w:t>
      </w:r>
    </w:p>
    <w:p>
      <w:pPr>
        <w:pStyle w:val="Normal"/>
        <w:ind w:left="720" w:hanging="720"/>
        <w:jc w:val="both"/>
      </w:pPr>
      <w:r>
        <w:rPr>
          <w:szCs w:val="22"/>
          <w:lang w:val="en-US" w:eastAsia="en-US" w:bidi="ar-SA"/>
          <w:rFonts w:ascii="Times New Roman" w:hAnsi="Times New Roman" w:eastAsia="Times New Roman" w:cs="Times New Roman"/>
          <w:sz w:val="24"/>
        </w:rPr>
        <w:t>An, S., Cheung, C. F., &amp; Lo, Y. T. (2025). Improving older adults' technology adoption on mobile map: A gamification approach. International Journal of Human–Computer Interaction, 41(15), 9633–9651. https://doi.org/10.1080/10447318.2024.2426914</w:t>
      </w:r>
    </w:p>
    <w:p>
      <w:pPr>
        <w:pStyle w:val="Normal"/>
        <w:ind w:left="720" w:hanging="720"/>
        <w:jc w:val="both"/>
      </w:pPr>
      <w:r>
        <w:rPr>
          <w:szCs w:val="22"/>
          <w:lang w:val="en-US" w:eastAsia="en-US" w:bidi="ar-SA"/>
          <w:rFonts w:ascii="Times New Roman" w:hAnsi="Times New Roman" w:eastAsia="Times New Roman" w:cs="Times New Roman"/>
          <w:sz w:val="24"/>
        </w:rP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pStyle w:val="Normal"/>
        <w:ind w:left="720" w:hanging="720"/>
        <w:jc w:val="both"/>
      </w:pPr>
      <w:r>
        <w:rPr>
          <w:szCs w:val="22"/>
          <w:lang w:val="en-US" w:eastAsia="en-US" w:bidi="ar-SA"/>
          <w:rFonts w:ascii="Times New Roman" w:hAnsi="Times New Roman" w:eastAsia="Times New Roman" w:cs="Times New Roman"/>
          <w:sz w:val="24"/>
        </w:rPr>
        <w:t>Antonides, G., de Groot, I. M., &amp; van Raaij, W. F. (2011). Mental budgeting and the management of household finance. Journal of Economic Psychology, 32(4), 546–555.</w:t>
      </w:r>
    </w:p>
    <w:p>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pStyle w:val="Normal"/>
        <w:ind w:left="720" w:hanging="720"/>
        <w:jc w:val="both"/>
      </w:pPr>
      <w:r>
        <w:rPr>
          <w:szCs w:val="22"/>
          <w:lang w:val="en-US" w:eastAsia="en-US" w:bidi="ar-SA"/>
          <w:rFonts w:ascii="Times New Roman" w:hAnsi="Times New Roman" w:eastAsia="Times New Roman" w:cs="Times New Roman"/>
          <w:sz w:val="24"/>
        </w:rPr>
        <w:t>Bandura, A. (1977). Self-efficacy: Toward a unifying theory of behavioral change. Psychological Review, 84(2), 191–215.</w:t>
      </w:r>
    </w:p>
    <w:p>
      <w:pPr>
        <w:pStyle w:val="Normal"/>
        <w:ind w:left="720" w:hanging="720"/>
        <w:jc w:val="both"/>
      </w:pPr>
      <w:r>
        <w:rPr>
          <w:szCs w:val="22"/>
          <w:lang w:val="en-US" w:eastAsia="en-US" w:bidi="ar-SA"/>
          <w:rFonts w:ascii="Times New Roman" w:hAnsi="Times New Roman" w:eastAsia="Times New Roman" w:cs="Times New Roman"/>
          <w:sz w:val="24"/>
        </w:rPr>
        <w:t>Bandura, A. (1997). Self-efficacy: The exercise of control. W. H. Freeman.</w:t>
      </w:r>
    </w:p>
    <w:p>
      <w:pPr>
        <w:pStyle w:val="Normal"/>
        <w:ind w:left="720" w:hanging="720"/>
        <w:jc w:val="both"/>
      </w:pPr>
      <w:r>
        <w:rPr>
          <w:szCs w:val="22"/>
          <w:lang w:val="en-US" w:eastAsia="en-US" w:bidi="ar-SA"/>
          <w:rFonts w:ascii="Times New Roman" w:hAnsi="Times New Roman" w:eastAsia="Times New Roman" w:cs="Times New Roman"/>
          <w:sz w:val="24"/>
        </w:rPr>
        <w:t>Barber, S. J. (2017). An examination of age-based stereotype threat about cognitive decline. Perspectives on Psychological Science, 12(1), 62–90.</w:t>
      </w:r>
    </w:p>
    <w:p>
      <w:pPr>
        <w:pStyle w:val="Normal"/>
        <w:ind w:left="720" w:hanging="720"/>
        <w:jc w:val="both"/>
      </w:pPr>
      <w:r>
        <w:rPr>
          <w:szCs w:val="22"/>
          <w:lang w:val="en-US" w:eastAsia="en-US" w:bidi="ar-SA"/>
          <w:rFonts w:ascii="Times New Roman" w:hAnsi="Times New Roman" w:eastAsia="Times New Roman" w:cs="Times New Roman"/>
          <w:sz w:val="24"/>
        </w:rPr>
        <w:t>Bjork, E. L., &amp; Bjork, R. A. (2011). Making things hard on yourself, but in a good way: Creating desirable difficulties to enhance learning. In M. A. Gernsbacher, R. W. Pew, L. M. Hough, &amp; J. R. Pomerantz (Eds.), Psychology and the real world (pp. 56–64). Worth.</w:t>
      </w:r>
    </w:p>
    <w:p>
      <w:pPr>
        <w:pStyle w:val="Normal"/>
        <w:ind w:left="720" w:hanging="720"/>
        <w:jc w:val="both"/>
      </w:pPr>
      <w:r>
        <w:rPr>
          <w:szCs w:val="22"/>
          <w:lang w:val="en-US" w:eastAsia="en-US" w:bidi="ar-SA"/>
          <w:rFonts w:ascii="Times New Roman" w:hAnsi="Times New Roman" w:eastAsia="Times New Roman" w:cs="Times New Roman"/>
          <w:sz w:val="24"/>
        </w:rPr>
        <w:t>Broady, T., Chan, A., &amp; Caputi, P. (2010). Older and younger adults' attitudes towards computers. British Journal of Educational Technology, 41(3), 473–485.</w:t>
      </w:r>
    </w:p>
    <w:p>
      <w:pPr>
        <w:pStyle w:val="Normal"/>
        <w:ind w:left="720" w:hanging="720"/>
        <w:jc w:val="both"/>
      </w:pPr>
      <w:r>
        <w:rPr>
          <w:szCs w:val="22"/>
          <w:lang w:val="en-US" w:eastAsia="en-US" w:bidi="ar-SA"/>
          <w:rFonts w:ascii="Times New Roman" w:hAnsi="Times New Roman" w:eastAsia="Times New Roman" w:cs="Times New Roman"/>
          <w:sz w:val="24"/>
        </w:rPr>
        <w:t>Brooks, R. A. (1991). Intelligence without representation. Artificial Intelligence, 47(1–3), 139–159.</w:t>
      </w:r>
    </w:p>
    <w:p>
      <w:pPr>
        <w:pStyle w:val="Normal"/>
        <w:ind w:left="720" w:hanging="720"/>
        <w:jc w:val="both"/>
      </w:pPr>
      <w:r>
        <w:rPr>
          <w:szCs w:val="22"/>
          <w:lang w:val="en-US" w:eastAsia="en-US" w:bidi="ar-SA"/>
          <w:rFonts w:ascii="Times New Roman" w:hAnsi="Times New Roman" w:eastAsia="Times New Roman" w:cs="Times New Roman"/>
          <w:sz w:val="24"/>
        </w:rPr>
        <w:t>Centers for Disease Control and Prevention. (2023). Facts about falls. U.S. Department of Health and Human Services.</w:t>
      </w:r>
    </w:p>
    <w:p>
      <w:pPr>
        <w:pStyle w:val="Normal"/>
      </w:pPr>
      <w:r>
        <w:rPr>
          <w:szCs w:val="22"/>
          <w:lang w:val="en-US" w:eastAsia="en-US" w:bidi="ar-SA"/>
          <w:rFonts w:ascii="Times New Roman" w:hAnsi="Times New Roman" w:eastAsia="Times New Roman" w:cs="Times New Roman"/>
          <w:sz w:val="24"/>
        </w:rPr>
        <w:t>Chan, L.-K., &amp; Wu, M.-L. (2002). Quality function deployment: A literature review. European Journal of Operational Research, 143(3), 463–497.</w:t>
      </w:r>
    </w:p>
    <w:p>
      <w:pPr>
        <w:pStyle w:val="Normal"/>
        <w:ind w:left="720" w:hanging="720"/>
        <w:jc w:val="both"/>
      </w:pPr>
      <w:r>
        <w:rPr>
          <w:szCs w:val="22"/>
          <w:lang w:val="en-US" w:eastAsia="en-US" w:bidi="ar-SA"/>
          <w:rFonts w:ascii="Times New Roman" w:hAnsi="Times New Roman" w:eastAsia="Times New Roman" w:cs="Times New Roman"/>
          <w:sz w:val="24"/>
        </w:rPr>
        <w:t>Chen, G., Gully, S. M., &amp; Eden, D. (2001). Validation of a new general self-efficacy scale. Organizational Research Methods, 4(1), 62–83.</w:t>
      </w:r>
    </w:p>
    <w:p>
      <w:pPr>
        <w:pStyle w:val="Normal"/>
        <w:ind w:left="720" w:hanging="720"/>
        <w:jc w:val="both"/>
      </w:pPr>
      <w:r>
        <w:rPr>
          <w:szCs w:val="22"/>
          <w:lang w:val="en-US" w:eastAsia="en-US" w:bidi="ar-SA"/>
          <w:rFonts w:ascii="Times New Roman" w:hAnsi="Times New Roman" w:eastAsia="Times New Roman" w:cs="Times New Roman"/>
          <w:sz w:val="24"/>
        </w:rPr>
        <w:t>Chen, K., &amp; Chan, A. H. S. (2014). Gerontechnology acceptance by elderly Hong Kong Chinese: A senior technology acceptance model (STAM). Ergonomics, 57(5), 635–652.</w:t>
      </w:r>
    </w:p>
    <w:p>
      <w:pPr>
        <w:pStyle w:val="Normal"/>
        <w:ind w:left="720" w:hanging="720"/>
        <w:jc w:val="both"/>
      </w:pPr>
      <w:r>
        <w:rPr>
          <w:szCs w:val="22"/>
          <w:lang w:val="en-US" w:eastAsia="en-US" w:bidi="ar-SA"/>
          <w:rFonts w:ascii="Times New Roman" w:hAnsi="Times New Roman" w:eastAsia="Times New Roman" w:cs="Times New Roman"/>
          <w:sz w:val="24"/>
        </w:rPr>
        <w:t>Chou, Y. (2015). Actionable gamification: Beyond points, badges, and leaderboards. Octalysis Media.</w:t>
      </w:r>
    </w:p>
    <w:p>
      <w:pPr>
        <w:pStyle w:val="Normal"/>
        <w:ind w:left="720" w:hanging="720"/>
        <w:jc w:val="both"/>
      </w:pPr>
      <w:r>
        <w:rPr>
          <w:szCs w:val="22"/>
          <w:lang w:val="en-US" w:eastAsia="en-US" w:bidi="ar-SA"/>
          <w:rFonts w:ascii="Times New Roman" w:hAnsi="Times New Roman" w:eastAsia="Times New Roman" w:cs="Times New Roman"/>
          <w:sz w:val="24"/>
        </w:rPr>
        <w:t>Compeau, D. R., &amp; Higgins, C. A. (1995). Computer self-efficacy: Development of a measure and initial test. MIS Quarterly, 19(2), 189–211.</w:t>
      </w:r>
    </w:p>
    <w:p>
      <w:pPr>
        <w:pStyle w:val="Normal"/>
        <w:ind w:left="720" w:hanging="720"/>
        <w:jc w:val="both"/>
      </w:pPr>
      <w:r>
        <w:rPr>
          <w:szCs w:val="22"/>
          <w:lang w:val="en-US" w:eastAsia="en-US" w:bidi="ar-SA"/>
          <w:rFonts w:ascii="Times New Roman" w:hAnsi="Times New Roman" w:eastAsia="Times New Roman" w:cs="Times New Roman"/>
          <w:sz w:val="24"/>
        </w:rPr>
        <w:t>Csikszentmihalyi, M. (1990). Flow: The psychology of optimal experience. Harper &amp; Row.</w:t>
      </w:r>
    </w:p>
    <w:p>
      <w:pPr/>
      <w:r>
        <w:t>Czaja, S. J., Boot, W. R., Charness, N., Rogers, W. A., &amp; Sharit, J. (2018). Improving social support for older adults through technology: Findings from the PRISM randomized controlled trial. The Gerontologist, 58(3), 467-477. https://doi.org/10.1093/geront/gnw249</w:t>
      </w:r>
    </w:p>
    <w:p>
      <w:pPr>
        <w:pStyle w:val="Normal"/>
        <w:ind w:left="720" w:hanging="720"/>
        <w:jc w:val="both"/>
      </w:pPr>
      <w:r>
        <w:rPr>
          <w:szCs w:val="22"/>
          <w:lang w:val="en-US" w:eastAsia="en-US" w:bidi="ar-SA"/>
          <w:rFonts w:ascii="Times New Roman" w:hAnsi="Times New Roman" w:eastAsia="Times New Roman" w:cs="Times New Roman"/>
          <w:sz w:val="24"/>
        </w:rPr>
        <w:t>Davis, F. D. (1989). Perceived usefulness, perceived ease of use, and user acceptance of information technology. MIS Quarterly, 13(3), 319–340.</w:t>
      </w:r>
    </w:p>
    <w:p>
      <w:pPr>
        <w:pStyle w:val="Normal"/>
        <w:ind w:left="720" w:hanging="720"/>
        <w:jc w:val="both"/>
      </w:pPr>
      <w:r>
        <w:rPr>
          <w:szCs w:val="22"/>
          <w:lang w:val="en-US" w:eastAsia="en-US" w:bidi="ar-SA"/>
          <w:rFonts w:ascii="Times New Roman" w:hAnsi="Times New Roman" w:eastAsia="Times New Roman" w:cs="Times New Roman"/>
          <w:sz w:val="24"/>
        </w:rPr>
        <w:t>Deci, E. L., &amp; Ryan, R. M. (1985). Intrinsic motivation and self-determination in human behavior. Plenum.</w:t>
      </w:r>
    </w:p>
    <w:p>
      <w:pPr>
        <w:pStyle w:val="Normal"/>
        <w:ind w:left="720" w:hanging="720"/>
        <w:jc w:val="both"/>
      </w:pPr>
      <w:r>
        <w:rPr>
          <w:szCs w:val="22"/>
          <w:lang w:val="en-US" w:eastAsia="en-US" w:bidi="ar-SA"/>
          <w:rFonts w:ascii="Times New Roman" w:hAnsi="Times New Roman" w:eastAsia="Times New Roman" w:cs="Times New Roman"/>
          <w:sz w:val="24"/>
        </w:rPr>
        <w:t>Deterding, S., Dixon, D., Khaled, R., &amp; Nacke, L. (2011). From game design elements to gamefulness: Defining gamification. In Proceedings of the 15th International Academic MindTrek Conference (pp. 9–15). ACM.</w:t>
      </w:r>
    </w:p>
    <w:p>
      <w:pPr>
        <w:pStyle w:val="Normal"/>
        <w:ind w:left="720" w:hanging="720"/>
        <w:jc w:val="both"/>
      </w:pPr>
      <w:r>
        <w:rPr>
          <w:szCs w:val="22"/>
          <w:lang w:val="en-US" w:eastAsia="en-US" w:bidi="ar-SA"/>
          <w:rFonts w:ascii="Times New Roman" w:hAnsi="Times New Roman" w:eastAsia="Times New Roman" w:cs="Times New Roman"/>
          <w:sz w:val="24"/>
        </w:rPr>
        <w:t>D'Mello, S., &amp; Graesser, A. (2012). Dynamics of affective states during complex learning. Learning and Instruction, 22(2), 145–157.</w:t>
      </w:r>
    </w:p>
    <w:p>
      <w:pPr>
        <w:pStyle w:val="Normal"/>
        <w:ind w:left="720" w:hanging="720"/>
        <w:jc w:val="both"/>
      </w:pPr>
      <w:r>
        <w:rPr>
          <w:szCs w:val="22"/>
          <w:lang w:val="en-US" w:eastAsia="en-US" w:bidi="ar-SA"/>
          <w:rFonts w:ascii="Times New Roman" w:hAnsi="Times New Roman" w:eastAsia="Times New Roman" w:cs="Times New Roman"/>
          <w:sz w:val="24"/>
        </w:rPr>
        <w:t>Elliot, A. J., &amp; Murayama, K. (2008). On the measurement of achievement goals: Critique, illustration, and application. Journal of Educational Psychology, 100(3), 613–628.</w:t>
      </w:r>
    </w:p>
    <w:p>
      <w:pPr>
        <w:pStyle w:val="Normal"/>
        <w:ind w:left="720" w:hanging="720"/>
        <w:jc w:val="both"/>
      </w:pPr>
      <w:r>
        <w:rPr>
          <w:szCs w:val="22"/>
          <w:lang w:val="en-US" w:eastAsia="en-US" w:bidi="ar-SA"/>
          <w:rFonts w:ascii="Times New Roman" w:hAnsi="Times New Roman" w:eastAsia="Times New Roman" w:cs="Times New Roman"/>
          <w:sz w:val="24"/>
        </w:rPr>
        <w:t>Eysenbach, G. (2005). The law of attrition. Journal of Medical Internet Research, 7(1), e11.</w:t>
      </w:r>
    </w:p>
    <w:p>
      <w:pPr>
        <w:pStyle w:val="Normal"/>
        <w:ind w:left="720" w:hanging="720"/>
        <w:jc w:val="both"/>
      </w:pPr>
      <w:r>
        <w:rPr>
          <w:szCs w:val="22"/>
          <w:lang w:val="en-US" w:eastAsia="en-US" w:bidi="ar-SA"/>
          <w:rFonts w:ascii="Times New Roman" w:hAnsi="Times New Roman" w:eastAsia="Times New Roman" w:cs="Times New Roman"/>
          <w:sz w:val="24"/>
        </w:rPr>
        <w:t>Festinger, L. (1954). A theory of social comparison processes. Human Relations, 7(2), 117–140.</w:t>
      </w:r>
    </w:p>
    <w:p>
      <w:pPr>
        <w:pStyle w:val="Normal"/>
        <w:ind w:left="720" w:hanging="720"/>
        <w:jc w:val="both"/>
      </w:pPr>
      <w:r>
        <w:rPr>
          <w:szCs w:val="22"/>
          <w:lang w:val="en-US" w:eastAsia="en-US" w:bidi="ar-SA"/>
          <w:rFonts w:ascii="Times New Roman" w:hAnsi="Times New Roman" w:eastAsia="Times New Roman" w:cs="Times New Roman"/>
          <w:sz w:val="24"/>
        </w:rPr>
        <w:t>Frey, B. S., &amp; Jegen, R. (2001). Motivation crowding theory. Journal of Economic Surveys, 15(5), 589–611.</w:t>
      </w:r>
    </w:p>
    <w:p>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r>
        <w:t>GrandPad. (n.d.). GrandPad: The tablet for seniors [Product and subscription information]. GrandPad, Inc. https://www.grandpad.net</w:t>
      </w:r>
    </w:p>
    <w:p>
      <w:pPr>
        <w:pStyle w:val="Normal"/>
        <w:ind w:left="720" w:hanging="720"/>
        <w:jc w:val="both"/>
      </w:pPr>
      <w:r>
        <w:rPr>
          <w:szCs w:val="22"/>
          <w:lang w:val="en-US" w:eastAsia="en-US" w:bidi="ar-SA"/>
          <w:rFonts w:ascii="Times New Roman" w:hAnsi="Times New Roman" w:eastAsia="Times New Roman" w:cs="Times New Roman"/>
          <w:sz w:val="24"/>
        </w:rP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pStyle w:val="Normal"/>
        <w:ind w:left="720" w:hanging="720"/>
        <w:jc w:val="both"/>
      </w:pPr>
      <w:r>
        <w:rPr>
          <w:szCs w:val="22"/>
          <w:lang w:val="en-US" w:eastAsia="en-US" w:bidi="ar-SA"/>
          <w:rFonts w:ascii="Times New Roman" w:hAnsi="Times New Roman" w:eastAsia="Times New Roman" w:cs="Times New Roman"/>
          <w:sz w:val="24"/>
        </w:rPr>
        <w:t>Harnad, S. (1990). The symbol grounding problem. Physica D: Nonlinear Phenomena, 42(1–3), 335–346.</w:t>
      </w:r>
    </w:p>
    <w:p>
      <w:pPr>
        <w:pStyle w:val="Normal"/>
        <w:ind w:left="720" w:hanging="720"/>
        <w:jc w:val="both"/>
      </w:pPr>
      <w:r>
        <w:rPr>
          <w:szCs w:val="22"/>
          <w:lang w:val="en-US" w:eastAsia="en-US" w:bidi="ar-SA"/>
          <w:rFonts w:ascii="Times New Roman" w:hAnsi="Times New Roman" w:eastAsia="Times New Roman" w:cs="Times New Roman"/>
          <w:sz w:val="24"/>
        </w:rPr>
        <w:t>Hawthorn, D. (2007). Interface design and engagement with older people. Behaviour &amp; Information Technology, 26(4), 333–341.</w:t>
      </w:r>
    </w:p>
    <w:p>
      <w:pPr>
        <w:pStyle w:val="Normal"/>
        <w:ind w:left="720" w:hanging="720"/>
        <w:jc w:val="both"/>
      </w:pPr>
      <w:r>
        <w:rPr>
          <w:szCs w:val="22"/>
          <w:lang w:val="en-US" w:eastAsia="en-US" w:bidi="ar-SA"/>
          <w:rFonts w:ascii="Times New Roman" w:hAnsi="Times New Roman" w:eastAsia="Times New Roman" w:cs="Times New Roman"/>
          <w:sz w:val="24"/>
        </w:rPr>
        <w:t>Holt, C. A., &amp; Laury, S. K. (2002). Risk aversion and incentive effects. American Economic Review, 92(5), 1644–1655.</w:t>
      </w:r>
    </w:p>
    <w:p>
      <w:pPr>
        <w:pStyle w:val="Normal"/>
        <w:ind w:left="720" w:hanging="720"/>
        <w:jc w:val="both"/>
      </w:pPr>
      <w:r>
        <w:rPr>
          <w:szCs w:val="22"/>
          <w:lang w:val="en-US" w:eastAsia="en-US" w:bidi="ar-SA"/>
          <w:rFonts w:ascii="Times New Roman" w:hAnsi="Times New Roman" w:eastAsia="Times New Roman" w:cs="Times New Roman"/>
          <w:sz w:val="24"/>
        </w:rPr>
        <w:t>InBody Co., Ltd. (2022). InBody FRA510S: Fall risk assessment system — user manual and product catalogue. InBody Co., Ltd.</w:t>
      </w:r>
    </w:p>
    <w:p>
      <w:pPr>
        <w:pStyle w:val="Normal"/>
        <w:ind w:left="720" w:hanging="720"/>
        <w:jc w:val="both"/>
      </w:pPr>
      <w:r>
        <w:rPr>
          <w:szCs w:val="22"/>
          <w:lang w:val="en-US" w:eastAsia="en-US" w:bidi="ar-SA"/>
          <w:rFonts w:ascii="Times New Roman" w:hAnsi="Times New Roman" w:eastAsia="Times New Roman" w:cs="Times New Roman"/>
          <w:sz w:val="24"/>
        </w:rPr>
        <w:t>Juul, J. (2013). The art of failure: An essay on the pain of playing video games. MIT Press.</w:t>
      </w:r>
    </w:p>
    <w:p>
      <w:pPr>
        <w:pStyle w:val="Normal"/>
        <w:ind w:left="720" w:hanging="720"/>
        <w:jc w:val="both"/>
      </w:pPr>
      <w:r>
        <w:rPr>
          <w:szCs w:val="22"/>
          <w:lang w:val="en-US" w:eastAsia="en-US" w:bidi="ar-SA"/>
          <w:rFonts w:ascii="Times New Roman" w:hAnsi="Times New Roman" w:eastAsia="Times New Roman" w:cs="Times New Roman"/>
          <w:sz w:val="24"/>
        </w:rPr>
        <w:t>Kahneman, D., Knetsch, J. L., &amp; Thaler, R. H. (1990). Experimental tests of the endowment effect and the Coase theorem. Journal of Political Economy, 98(6), 1325–1348.</w:t>
      </w:r>
    </w:p>
    <w:p>
      <w:pPr>
        <w:pStyle w:val="Normal"/>
        <w:ind w:left="720" w:hanging="720"/>
        <w:jc w:val="both"/>
      </w:pPr>
      <w:r>
        <w:rPr>
          <w:szCs w:val="22"/>
          <w:lang w:val="en-US" w:eastAsia="en-US" w:bidi="ar-SA"/>
          <w:rFonts w:ascii="Times New Roman" w:hAnsi="Times New Roman" w:eastAsia="Times New Roman" w:cs="Times New Roman"/>
          <w:sz w:val="24"/>
        </w:rPr>
        <w:t>Kahneman, D., &amp; Tversky, A. (1979). Prospect theory: An analysis of decision under risk. Econometrica, 47(2), 263–292.</w:t>
      </w:r>
    </w:p>
    <w:p>
      <w:pPr>
        <w:pStyle w:val="Normal"/>
        <w:ind w:left="720" w:hanging="720"/>
        <w:jc w:val="both"/>
      </w:pPr>
      <w:r>
        <w:rPr>
          <w:szCs w:val="22"/>
          <w:lang w:val="en-US" w:eastAsia="en-US" w:bidi="ar-SA"/>
          <w:rFonts w:ascii="Times New Roman" w:hAnsi="Times New Roman" w:eastAsia="Times New Roman" w:cs="Times New Roman"/>
          <w:sz w:val="24"/>
        </w:rPr>
        <w:t>Kapur, M. (2008). Productive failure. Cognition and Instruction, 26(3), 379–424.</w:t>
      </w:r>
    </w:p>
    <w:p>
      <w:pPr>
        <w:pStyle w:val="Normal"/>
        <w:ind w:left="720" w:hanging="720"/>
        <w:jc w:val="both"/>
      </w:pPr>
      <w:r>
        <w:rPr>
          <w:szCs w:val="22"/>
          <w:lang w:val="en-US" w:eastAsia="en-US" w:bidi="ar-SA"/>
          <w:rFonts w:ascii="Times New Roman" w:hAnsi="Times New Roman" w:eastAsia="Times New Roman" w:cs="Times New Roman"/>
          <w:sz w:val="24"/>
        </w:rPr>
        <w:t>Kim, M., Kim, S., &amp; Won, C. W. (2018). Test–retest reliability and sensitivity to change of a new fall risk assessment system: A pilot study. Annals of Geriatric Medicine and Research, 22(2), 80–87. https://doi.org/10.4235/agmr.2018.22.2.80</w:t>
      </w:r>
    </w:p>
    <w:p>
      <w:pPr>
        <w:pStyle w:val="Normal"/>
        <w:ind w:left="720" w:hanging="720"/>
        <w:jc w:val="both"/>
      </w:pPr>
      <w:r>
        <w:rPr>
          <w:szCs w:val="22"/>
          <w:lang w:val="en-US" w:eastAsia="en-US" w:bidi="ar-SA"/>
          <w:rFonts w:ascii="Times New Roman" w:hAnsi="Times New Roman" w:eastAsia="Times New Roman" w:cs="Times New Roman"/>
          <w:sz w:val="24"/>
        </w:rPr>
        <w:t>King, W. R., &amp; He, J. (2006). A meta-analysis of the technology acceptance model. Information &amp; Management, 43(6), 740–755.</w:t>
      </w:r>
    </w:p>
    <w:p>
      <w:pPr>
        <w:pStyle w:val="Normal"/>
        <w:ind w:left="720" w:hanging="720"/>
        <w:jc w:val="both"/>
      </w:pPr>
      <w:r>
        <w:rPr>
          <w:szCs w:val="22"/>
          <w:lang w:val="en-US" w:eastAsia="en-US" w:bidi="ar-SA"/>
          <w:rFonts w:ascii="Times New Roman" w:hAnsi="Times New Roman" w:eastAsia="Times New Roman" w:cs="Times New Roman"/>
          <w:sz w:val="24"/>
        </w:rPr>
        <w:t>Koivisto, J., &amp; Malik, A. (2021). Gamification for older adults: A systematic literature review. The Gerontologist, 61(7), e360–e372.</w:t>
      </w:r>
    </w:p>
    <w:p>
      <w:pPr>
        <w:pStyle w:val="Normal"/>
        <w:ind w:left="720" w:hanging="720"/>
        <w:jc w:val="both"/>
      </w:pPr>
      <w:r>
        <w:rPr>
          <w:szCs w:val="22"/>
          <w:lang w:val="en-US" w:eastAsia="en-US" w:bidi="ar-SA"/>
          <w:rFonts w:ascii="Times New Roman" w:hAnsi="Times New Roman" w:eastAsia="Times New Roman" w:cs="Times New Roman"/>
          <w:sz w:val="24"/>
        </w:rPr>
        <w:t>Kroenke, K., Spitzer, R. L., Williams, J. B. W., &amp; Löwe, B. (2009). An ultra-brief screening scale for anxiety and depression: The PHQ-4. Psychosomatics, 50(6), 613–621.</w:t>
      </w:r>
    </w:p>
    <w:p>
      <w:pPr>
        <w:pStyle w:val="Normal"/>
        <w:ind w:left="720" w:hanging="720"/>
        <w:jc w:val="both"/>
      </w:pPr>
      <w:r>
        <w:rPr>
          <w:szCs w:val="22"/>
          <w:lang w:val="en-US" w:eastAsia="en-US" w:bidi="ar-SA"/>
          <w:rFonts w:ascii="Times New Roman" w:hAnsi="Times New Roman" w:eastAsia="Times New Roman" w:cs="Times New Roman"/>
          <w:sz w:val="24"/>
        </w:rPr>
        <w:t>Lee, C., &amp; Coughlin, J. F. (2015). Older adults' adoption of technology: An integrated approach to identifying determinants and barriers. Journal of Product Innovation Management, 32(5), 747–759.</w:t>
      </w:r>
    </w:p>
    <w:p>
      <w:pPr>
        <w:pStyle w:val="Normal"/>
        <w:ind w:left="720" w:hanging="720"/>
        <w:jc w:val="both"/>
      </w:pPr>
      <w:r>
        <w:rPr>
          <w:szCs w:val="22"/>
          <w:lang w:val="en-US" w:eastAsia="en-US" w:bidi="ar-SA"/>
          <w:rFonts w:ascii="Times New Roman" w:hAnsi="Times New Roman" w:eastAsia="Times New Roman" w:cs="Times New Roman"/>
          <w:sz w:val="24"/>
        </w:rPr>
        <w:t>Levy, B. R., Slade, M. D., Kunkel, S. R., &amp; Kasl, S. V. (2002). Longevity increased by positive self-perceptions of aging. Journal of Personality and Social Psychology, 83(2), 261–270.</w:t>
      </w:r>
    </w:p>
    <w:p>
      <w:pPr>
        <w:pStyle w:val="Normal"/>
        <w:ind w:left="720" w:hanging="720"/>
        <w:jc w:val="both"/>
      </w:pPr>
      <w:r>
        <w:rPr>
          <w:szCs w:val="22"/>
          <w:lang w:val="en-US" w:eastAsia="en-US" w:bidi="ar-SA"/>
          <w:rFonts w:ascii="Times New Roman" w:hAnsi="Times New Roman" w:eastAsia="Times New Roman" w:cs="Times New Roman"/>
          <w:sz w:val="24"/>
        </w:rPr>
        <w:t>Lewin, K. (1946). Action research and minority problems. Journal of Social Issues, 2(4), 34–46.</w:t>
      </w:r>
    </w:p>
    <w:p>
      <w:pPr/>
      <w:r>
        <w:t>Liu, X., Cruz Rivera, S., Moher, D., Calvert, M. J., Denniston, A. K., &amp; SPIRIT-AI and CONSORT-AI Working Group. (2020). Reporting guidelines for clinical trials evaluating artificial intelligence interventions: The SPIRIT-AI and CONSORT-AI extensions. Nature Medicine, 26(9), 1364-1374.</w:t>
      </w:r>
    </w:p>
    <w:p>
      <w:pPr>
        <w:pStyle w:val="Normal"/>
        <w:ind w:left="720" w:hanging="720"/>
        <w:jc w:val="both"/>
      </w:pPr>
      <w:r>
        <w:rPr>
          <w:szCs w:val="22"/>
          <w:lang w:val="en-US" w:eastAsia="en-US" w:bidi="ar-SA"/>
          <w:rFonts w:ascii="Times New Roman" w:hAnsi="Times New Roman" w:eastAsia="Times New Roman" w:cs="Times New Roman"/>
          <w:sz w:val="24"/>
        </w:rPr>
        <w:t>Locke, E. A., &amp; Latham, G. P. (2002). Building a practically useful theory of goal setting and task motivation: A 35-year odyssey. American Psychologist, 57(9), 705–717.</w:t>
      </w:r>
    </w:p>
    <w:p>
      <w:pPr>
        <w:pStyle w:val="Normal"/>
        <w:ind w:left="720" w:hanging="720"/>
        <w:jc w:val="both"/>
      </w:pPr>
      <w:r>
        <w:rPr>
          <w:szCs w:val="22"/>
          <w:lang w:val="en-US" w:eastAsia="en-US" w:bidi="ar-SA"/>
          <w:rFonts w:ascii="Times New Roman" w:hAnsi="Times New Roman" w:eastAsia="Times New Roman" w:cs="Times New Roman"/>
          <w:sz w:val="24"/>
        </w:rPr>
        <w:t>McGlone, M. S., &amp; Aronson, J. (2006). Stereotype threat, identity salience, and spatial reasoning. Journal of Applied Developmental Psychology, 27(5), 486–493.</w:t>
      </w:r>
    </w:p>
    <w:p>
      <w:pPr>
        <w:pStyle w:val="Normal"/>
        <w:ind w:left="720" w:hanging="720"/>
        <w:jc w:val="both"/>
      </w:pPr>
      <w:r>
        <w:rPr>
          <w:szCs w:val="22"/>
          <w:lang w:val="en-US" w:eastAsia="en-US" w:bidi="ar-SA"/>
          <w:rFonts w:ascii="Times New Roman" w:hAnsi="Times New Roman" w:eastAsia="Times New Roman" w:cs="Times New Roman"/>
          <w:sz w:val="24"/>
        </w:rPr>
        <w:t>Michie, S., van Stralen, M. M., &amp; West, R. (2011). The behaviour change wheel: A new method for characterising and designing behaviour change interventions. Implementation Science, 6, 42.</w:t>
      </w:r>
    </w:p>
    <w:p>
      <w:pPr>
        <w:pStyle w:val="Normal"/>
        <w:ind w:left="720" w:hanging="720"/>
        <w:jc w:val="both"/>
      </w:pPr>
      <w:r>
        <w:rPr>
          <w:szCs w:val="22"/>
          <w:lang w:val="en-US" w:eastAsia="en-US" w:bidi="ar-SA"/>
          <w:rFonts w:ascii="Times New Roman" w:hAnsi="Times New Roman" w:eastAsia="Times New Roman" w:cs="Times New Roman"/>
          <w:sz w:val="24"/>
        </w:rPr>
        <w:t xml:space="preserve">Nasreddine, Z. S., Phillips, N. A., Bédirian, V., Charbonneau, S., Whitehead, V., Collin, I., Cummings, J. L., &amp; Chertkow, H. (2005). The Montreal Cognitive Assessment, </w:t>
        <w:t>MoCA: A brief screening tool for mild cognitive impairment. Journal of the American Geriatrics Society, 53(4), 695–699.</w:t>
      </w:r>
    </w:p>
    <w:p>
      <w:pPr/>
      <w:r>
        <w:t>Park, D. C., Lodi-Smith, J., Drew, L., Haber, S., Hebrank, A., Bischof, G. N., &amp; Aamodt, W. (2014). The impact of sustained engagement on cognitive function in older adults: The Synapse Project. Psychological Science, 25(1), 103-112. https://doi.org/10.1177/0956797613499592</w:t>
      </w:r>
    </w:p>
    <w:p>
      <w:pPr>
        <w:pStyle w:val="Normal"/>
        <w:ind w:left="720" w:hanging="720"/>
        <w:jc w:val="both"/>
      </w:pPr>
      <w:r>
        <w:rPr>
          <w:szCs w:val="22"/>
          <w:lang w:val="en-US" w:eastAsia="en-US" w:bidi="ar-SA"/>
          <w:rFonts w:ascii="Times New Roman" w:hAnsi="Times New Roman" w:eastAsia="Times New Roman" w:cs="Times New Roman"/>
          <w:sz w:val="24"/>
        </w:rPr>
        <w:t>Park, W.-C., Kim, M., Kim, S., Yoo, J., Kim, B. S., Chon, J., Jeong, S. J., &amp; Won, C. W. (2019). Introduction of fall risk assessment (FRA) system and cross-sectional validation among community-dwelling older adults. Annals of Rehabilitation Medicine, 43(1), 87–95. https://doi.org/10.5535/arm.2019.43.1.87</w:t>
      </w:r>
    </w:p>
    <w:p>
      <w:pPr/>
      <w:r>
        <w:t>Perissinotto, C., Zhang, C., Oseau, T., Balik, D., Sou, C., Burnight, C., &amp; Burnight, K. (2019). Feasibility of a tablet designed for older adults to facilitate telemedicine visits [Conference abstract]. Innovation in Aging, 3(Suppl. 1), S975. https://doi.org/10.1093/geroni/igz038.3534</w:t>
      </w:r>
    </w:p>
    <w:p>
      <w:pPr>
        <w:pStyle w:val="Normal"/>
        <w:ind w:left="720" w:hanging="720"/>
        <w:jc w:val="both"/>
      </w:pPr>
      <w:r>
        <w:rPr>
          <w:szCs w:val="22"/>
          <w:lang w:val="en-US" w:eastAsia="en-US" w:bidi="ar-SA"/>
          <w:rFonts w:ascii="Times New Roman" w:hAnsi="Times New Roman" w:eastAsia="Times New Roman" w:cs="Times New Roman"/>
          <w:sz w:val="24"/>
        </w:rPr>
        <w:t>Picard, R. W. (1997). Affective computing. MIT Press.</w:t>
      </w:r>
    </w:p>
    <w:p>
      <w:pPr>
        <w:pStyle w:val="Normal"/>
        <w:ind w:left="720" w:hanging="720"/>
        <w:jc w:val="both"/>
      </w:pPr>
      <w:r>
        <w:rPr>
          <w:szCs w:val="22"/>
          <w:lang w:val="en-US" w:eastAsia="en-US" w:bidi="ar-SA"/>
          <w:rFonts w:ascii="Times New Roman" w:hAnsi="Times New Roman" w:eastAsia="Times New Roman" w:cs="Times New Roman"/>
          <w:sz w:val="24"/>
        </w:rPr>
        <w:t>Reason, P., &amp; Bradbury, H. (Eds.). (2008). The SAGE handbook of action research: Participative inquiry and practice (2nd ed.). SAGE.</w:t>
      </w:r>
    </w:p>
    <w:p>
      <w:pPr>
        <w:pStyle w:val="Normal"/>
        <w:ind w:left="720" w:hanging="720"/>
        <w:jc w:val="both"/>
      </w:pPr>
      <w:r>
        <w:rPr>
          <w:szCs w:val="22"/>
          <w:lang w:val="en-US" w:eastAsia="en-US" w:bidi="ar-SA"/>
          <w:rFonts w:ascii="Times New Roman" w:hAnsi="Times New Roman" w:eastAsia="Times New Roman" w:cs="Times New Roman"/>
          <w:sz w:val="24"/>
        </w:rPr>
        <w:t>Ryan, R. M., &amp; Deci, E. L. (2000). Self-determination theory and the facilitation of intrinsic motivation, social development, and well-being. American Psychologist, 55(1), 68–78.</w:t>
      </w:r>
    </w:p>
    <w:p>
      <w:pPr>
        <w:pStyle w:val="Normal"/>
        <w:ind w:left="720" w:hanging="720"/>
        <w:jc w:val="both"/>
      </w:pPr>
      <w:r>
        <w:rPr>
          <w:szCs w:val="22"/>
          <w:lang w:val="en-US" w:eastAsia="en-US" w:bidi="ar-SA"/>
          <w:rFonts w:ascii="Times New Roman" w:hAnsi="Times New Roman" w:eastAsia="Times New Roman" w:cs="Times New Roman"/>
          <w:sz w:val="24"/>
        </w:rPr>
        <w:t>Satchell, C., &amp; Dourish, P. (2009). Beyond the user: Use and non-use in HCI. In Proceedings of OzCHI 2009 (pp. 9–16). ACM.</w:t>
      </w:r>
    </w:p>
    <w:p>
      <w:pPr>
        <w:pStyle w:val="Normal"/>
        <w:ind w:left="720" w:hanging="720"/>
        <w:jc w:val="both"/>
      </w:pPr>
      <w:r>
        <w:rPr>
          <w:szCs w:val="22"/>
          <w:lang w:val="en-US" w:eastAsia="en-US" w:bidi="ar-SA"/>
          <w:rFonts w:ascii="Times New Roman" w:hAnsi="Times New Roman" w:eastAsia="Times New Roman" w:cs="Times New Roman"/>
          <w:sz w:val="24"/>
        </w:rPr>
        <w:t>Schroeder, T., Dodds, L., Georgiou, A., Gewald, H., &amp; Siette, J. (2023). Older adults and new technology: Mapping review of the factors associated with older adults' intention to adopt digital technologies. JMIR Aging, 6, e44564.</w:t>
      </w:r>
    </w:p>
    <w:p>
      <w:pPr>
        <w:pStyle w:val="Normal"/>
        <w:ind w:left="720" w:hanging="720"/>
        <w:jc w:val="both"/>
      </w:pPr>
      <w:r>
        <w:rPr>
          <w:szCs w:val="22"/>
          <w:lang w:val="en-US" w:eastAsia="en-US" w:bidi="ar-SA"/>
          <w:rFonts w:ascii="Times New Roman" w:hAnsi="Times New Roman" w:eastAsia="Times New Roman" w:cs="Times New Roman"/>
          <w:sz w:val="24"/>
        </w:rPr>
        <w:t>Shannon, C. E. (1948). A mathematical theory of communication. Bell System Technical Journal, 27(3), 379–423; 27(4), 623–656.</w:t>
      </w:r>
    </w:p>
    <w:p>
      <w:pPr>
        <w:pStyle w:val="Normal"/>
        <w:ind w:left="720" w:hanging="720"/>
        <w:jc w:val="both"/>
      </w:pPr>
      <w:r>
        <w:rPr>
          <w:szCs w:val="22"/>
          <w:lang w:val="en-US" w:eastAsia="en-US" w:bidi="ar-SA"/>
          <w:rFonts w:ascii="Times New Roman" w:hAnsi="Times New Roman" w:eastAsia="Times New Roman" w:cs="Times New Roman"/>
          <w:sz w:val="24"/>
        </w:rPr>
        <w:t>Standing Committee of the National People's Congress. (2021). Personal information protection law of the People's Republic of China.</w:t>
      </w:r>
    </w:p>
    <w:p>
      <w:pPr>
        <w:pStyle w:val="Normal"/>
        <w:ind w:left="720" w:hanging="720"/>
        <w:jc w:val="both"/>
      </w:pPr>
      <w:r>
        <w:rPr>
          <w:szCs w:val="22"/>
          <w:lang w:val="en-US" w:eastAsia="en-US" w:bidi="ar-SA"/>
          <w:rFonts w:ascii="Times New Roman" w:hAnsi="Times New Roman" w:eastAsia="Times New Roman" w:cs="Times New Roman"/>
          <w:sz w:val="24"/>
        </w:rPr>
        <w:t>Steele, C. M., &amp; Aronson, J. (1995). Stereotype threat and the intellectual test performance of African Americans. Journal of Personality and Social Psychology, 69(5), 797–811.</w:t>
      </w:r>
    </w:p>
    <w:p>
      <w:pPr>
        <w:pStyle w:val="Normal"/>
        <w:ind w:left="720" w:hanging="720"/>
        <w:jc w:val="both"/>
      </w:pPr>
      <w:r>
        <w:rPr>
          <w:szCs w:val="22"/>
          <w:lang w:val="en-US" w:eastAsia="en-US" w:bidi="ar-SA"/>
          <w:rFonts w:ascii="Times New Roman" w:hAnsi="Times New Roman" w:eastAsia="Times New Roman" w:cs="Times New Roman"/>
          <w:sz w:val="24"/>
        </w:rPr>
        <w:t>Stringer, E. T. (2014). Action research (4th ed.). SAGE.</w:t>
      </w:r>
    </w:p>
    <w:p>
      <w:pPr/>
      <w:r>
        <w:t>Tha, S. H., Hough, K., Bui, N., Dulaney, S., &amp; Perissinotto, C. (2025). The use of age-friendly technology in the care of older adults: Two implementation case studies. Journal of Applied Gerontology. https://doi.org/10.1177/07334648251343513</w:t>
      </w:r>
    </w:p>
    <w:p>
      <w:pPr>
        <w:pStyle w:val="Normal"/>
        <w:ind w:left="720" w:hanging="720"/>
        <w:jc w:val="both"/>
      </w:pPr>
      <w:r>
        <w:rPr>
          <w:szCs w:val="22"/>
          <w:lang w:val="en-US" w:eastAsia="en-US" w:bidi="ar-SA"/>
          <w:rFonts w:ascii="Times New Roman" w:hAnsi="Times New Roman" w:eastAsia="Times New Roman" w:cs="Times New Roman"/>
          <w:sz w:val="24"/>
        </w:rPr>
        <w:t>Thaler, R. H. (1980). Toward a positive theory of consumer choice. Journal of Economic Behavior &amp; Organization, 1(1), 39–60.</w:t>
      </w:r>
    </w:p>
    <w:p>
      <w:pPr>
        <w:pStyle w:val="Normal"/>
        <w:ind w:left="720" w:hanging="720"/>
        <w:jc w:val="both"/>
      </w:pPr>
      <w:r>
        <w:rPr>
          <w:szCs w:val="22"/>
          <w:lang w:val="en-US" w:eastAsia="en-US" w:bidi="ar-SA"/>
          <w:rFonts w:ascii="Times New Roman" w:hAnsi="Times New Roman" w:eastAsia="Times New Roman" w:cs="Times New Roman"/>
          <w:sz w:val="24"/>
        </w:rPr>
        <w:t>Thaler, R. H. (1985). Mental accounting and consumer choice. Marketing Science, 4(3), 199–214.</w:t>
      </w:r>
    </w:p>
    <w:p>
      <w:pPr>
        <w:pStyle w:val="Normal"/>
        <w:ind w:left="720" w:hanging="720"/>
        <w:jc w:val="both"/>
      </w:pPr>
      <w:r>
        <w:rPr>
          <w:szCs w:val="22"/>
          <w:lang w:val="en-US" w:eastAsia="en-US" w:bidi="ar-SA"/>
          <w:rFonts w:ascii="Times New Roman" w:hAnsi="Times New Roman" w:eastAsia="Times New Roman" w:cs="Times New Roman"/>
          <w:sz w:val="24"/>
        </w:rPr>
        <w:t>Tsai, T. H., Lin, W. Y., Chang, Y. S., Chang, P. C., &amp; Lee, M. Y. (2020). Technology anxiety and resistance to change: Behavioural study of a wearable cardiac warming system using an extended TAM for older adults. PLOS ONE, 15(1), e0227270. https://doi.org/10.1371/journal.pone.0227270</w:t>
      </w:r>
    </w:p>
    <w:p>
      <w:pPr>
        <w:pStyle w:val="Normal"/>
        <w:ind w:left="720" w:hanging="720"/>
        <w:jc w:val="both"/>
      </w:pPr>
      <w:r>
        <w:rPr>
          <w:szCs w:val="22"/>
          <w:lang w:val="en-US" w:eastAsia="en-US" w:bidi="ar-SA"/>
          <w:rFonts w:ascii="Times New Roman" w:hAnsi="Times New Roman" w:eastAsia="Times New Roman" w:cs="Times New Roman"/>
          <w:sz w:val="24"/>
        </w:rPr>
        <w:t>Tversky, A., &amp; Kahneman, D. (1991). Loss aversion in riskless choice: A reference-dependent model. Quarterly Journal of Economics, 106(4), 1039–1061.</w:t>
      </w:r>
    </w:p>
    <w:p>
      <w:pPr>
        <w:pStyle w:val="Normal"/>
        <w:ind w:left="720" w:hanging="720"/>
        <w:jc w:val="both"/>
      </w:pPr>
      <w:r>
        <w:rPr>
          <w:szCs w:val="22"/>
          <w:lang w:val="en-US" w:eastAsia="en-US" w:bidi="ar-SA"/>
          <w:rFonts w:ascii="Times New Roman" w:hAnsi="Times New Roman" w:eastAsia="Times New Roman" w:cs="Times New Roman"/>
          <w:sz w:val="24"/>
        </w:rPr>
        <w:t>VanLehn, K. (2011). The relative effectiveness of human tutoring, intelligent tutoring systems, and other tutoring systems. Educational Psychologist, 46(4), 197–221.</w:t>
      </w:r>
    </w:p>
    <w:p>
      <w:pPr>
        <w:pStyle w:val="Normal"/>
        <w:ind w:left="720" w:hanging="720"/>
        <w:jc w:val="both"/>
      </w:pPr>
      <w:r>
        <w:rPr>
          <w:szCs w:val="22"/>
          <w:lang w:val="en-US" w:eastAsia="en-US" w:bidi="ar-SA"/>
          <w:rFonts w:ascii="Times New Roman" w:hAnsi="Times New Roman" w:eastAsia="Times New Roman" w:cs="Times New Roman"/>
          <w:sz w:val="24"/>
        </w:rPr>
        <w:t>Venkatesh, V., &amp; Bala, H. (2008). Technology acceptance model 3 and a research agenda on interventions. Decision Sciences, 39(2), 273–315.</w:t>
      </w:r>
    </w:p>
    <w:p>
      <w:pPr>
        <w:pStyle w:val="Normal"/>
        <w:ind w:left="720" w:hanging="720"/>
        <w:jc w:val="both"/>
      </w:pPr>
      <w:r>
        <w:rPr>
          <w:szCs w:val="22"/>
          <w:lang w:val="en-US" w:eastAsia="en-US" w:bidi="ar-SA"/>
          <w:rFonts w:ascii="Times New Roman" w:hAnsi="Times New Roman" w:eastAsia="Times New Roman" w:cs="Times New Roman"/>
          <w:sz w:val="24"/>
        </w:rPr>
        <w:t>Venkatesh, V., &amp; Davis, F. D. (2000). A theoretical extension of the technology acceptance model: Four longitudinal field studies. Management Science, 46(2), 186–204.</w:t>
      </w:r>
    </w:p>
    <w:p>
      <w:pPr>
        <w:pStyle w:val="Normal"/>
        <w:ind w:left="720" w:hanging="720"/>
        <w:jc w:val="both"/>
      </w:pPr>
      <w:r>
        <w:rPr>
          <w:szCs w:val="22"/>
          <w:lang w:val="en-US" w:eastAsia="en-US" w:bidi="ar-SA"/>
          <w:rFonts w:ascii="Times New Roman" w:hAnsi="Times New Roman" w:eastAsia="Times New Roman" w:cs="Times New Roman"/>
          <w:sz w:val="24"/>
        </w:rPr>
        <w:t>Venkatesh, V., Morris, M. G., Davis, G. B., &amp; Davis, F. D. (2003). User acceptance of information technology: Toward a unified view. MIS Quarterly, 27(3), 425–478.</w:t>
      </w:r>
    </w:p>
    <w:p>
      <w:pPr>
        <w:pStyle w:val="Normal"/>
        <w:ind w:left="720" w:hanging="720"/>
        <w:jc w:val="both"/>
      </w:pPr>
      <w:r>
        <w:rPr>
          <w:szCs w:val="22"/>
          <w:lang w:val="en-US" w:eastAsia="en-US" w:bidi="ar-SA"/>
          <w:rFonts w:ascii="Times New Roman" w:hAnsi="Times New Roman" w:eastAsia="Times New Roman" w:cs="Times New Roman"/>
          <w:sz w:val="24"/>
        </w:rPr>
        <w:t>Vickers, A. J., &amp; Elkin, E. B. (2006). Decision curve analysis: A novel method for evaluating prediction models. Medical Decision Making, 26(6), 565–574.</w:t>
      </w:r>
    </w:p>
    <w:p>
      <w:pPr>
        <w:pStyle w:val="Normal"/>
        <w:ind w:left="720" w:hanging="720"/>
        <w:jc w:val="both"/>
      </w:pPr>
      <w:r>
        <w:rPr>
          <w:szCs w:val="22"/>
          <w:lang w:val="en-US" w:eastAsia="en-US" w:bidi="ar-SA"/>
          <w:rFonts w:ascii="Times New Roman" w:hAnsi="Times New Roman" w:eastAsia="Times New Roman" w:cs="Times New Roman"/>
          <w:sz w:val="24"/>
        </w:rPr>
        <w:t>Vygotsky, L. S. (1978). Mind in society: The development of higher psychological processes. Harvard University Press.</w:t>
      </w:r>
    </w:p>
    <w:p>
      <w:pPr>
        <w:pStyle w:val="Normal"/>
        <w:ind w:left="720" w:hanging="720"/>
        <w:jc w:val="both"/>
      </w:pPr>
      <w:r>
        <w:rPr>
          <w:szCs w:val="22"/>
          <w:lang w:val="en-US" w:eastAsia="en-US" w:bidi="ar-SA"/>
          <w:rFonts w:ascii="Times New Roman" w:hAnsi="Times New Roman" w:eastAsia="Times New Roman" w:cs="Times New Roman"/>
          <w:sz w:val="24"/>
        </w:rPr>
        <w:t>Wittgenstein, L. (1922). Tractatus logico-philosophicus (C. K. Ogden, Trans.). Kegan Paul, Trench, Trubner. (Original work published 1921)</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(2007). WHO global report on falls prevention in older age. World Health Organization.</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(2023). Falls (Fact sheet). World Health Organization. https://www.who.int/news-room/fact-sheets/detail/falls</w:t>
      </w:r>
    </w:p>
    <w:p>
      <w:pPr>
        <w:pStyle w:val="Normal"/>
      </w:pPr>
      <w:r>
        <w:rPr>
          <w:szCs w:val="22"/>
          <w:lang w:val="en-US" w:eastAsia="en-US" w:bidi="ar-SA"/>
          <w:rFonts w:ascii="Times New Roman" w:hAnsi="Times New Roman" w:eastAsia="Times New Roman" w:cs="Times New Roman"/>
          <w:sz w:val="24"/>
        </w:rPr>
        <w:t>World Health Organization. (2024). Ageing and health (Fact sheet). World Health Organization. https://www.who.int/news-room/fact-sheets/detail/ageing-and-health</w:t>
      </w:r>
    </w:p>
    <w:p>
      <w:pPr>
        <w:pStyle w:val="Normal"/>
        <w:ind w:left="720" w:hanging="720"/>
        <w:jc w:val="both"/>
      </w:pPr>
      <w:r>
        <w:rPr>
          <w:szCs w:val="22"/>
          <w:lang w:val="en-US" w:eastAsia="en-US" w:bidi="ar-SA"/>
          <w:rFonts w:ascii="Times New Roman" w:hAnsi="Times New Roman" w:eastAsia="Times New Roman" w:cs="Times New Roman"/>
          <w:sz w:val="24"/>
        </w:rPr>
        <w:t>Yardley, L., Beyer, N., Hauer, K., Kempen, G., Piot-Ziegler, C., &amp; Todd, C. (2005). Development and initial validation of the Falls Efficacy Scale-International (FES-I). Age and Ageing, 34(6), 614–619.</w:t>
      </w:r>
    </w:p>
    <w:p>
      <w:pPr>
        <w:pStyle w:val="Heading1"/>
        <w:pageBreakBefore/>
      </w:pPr>
      <w:bookmarkStart w:id="167" w:name="_Toc232024664"/>
      <w:r>
        <w:rPr>
          <w:lang w:val="en-US" w:eastAsia="en-US" w:bidi="ar-SA"/>
          <w:rFonts w:asciiTheme="majorHAnsi" w:eastAsiaTheme="majorEastAsia" w:hAnsiTheme="majorHAnsi" w:cstheme="majorBidi" w:ascii="Times New Roman" w:hAnsi="Times New Roman" w:eastAsia="Times New Roman" w:cs="Times New Roman"/>
          <w:b/>
          <w:color w:val="000000"/>
          <w:sz w:val="24"/>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intensive post-deployment interviews were conducted with all nine persistent participants, one to two days after the close of the eight-week cycle and following the small rewards presentation at which their written consent was recorded. The interviews used a paper interview questionnaire and were conducted in Mandarin or Cantonese at the participant's preference; the author's contemporaneous notes are the primary record.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confirmatory programme (§8.8), not a record of interviews conducted.</w:t>
      </w:r>
    </w:p>
    <w:p>
      <w:pPr>
        <w:pStyle w:val="Heading3"/>
      </w:pPr>
      <w:bookmarkStart w:id="172" w:name="_Toc2320246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 In the Stage-3 remote deployment the instrument was distributed with the e-mailed game build, and participants returned their responses by e-mail together with the build's logged results file.</w:t>
      </w:r>
    </w:p>
    <w:p>
      <w:pPr>
        <w:pStyle w:val="Heading3"/>
      </w:pPr>
      <w:bookmarkStart w:id="174" w:name="_Toc2320246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ran on a five-layer architecture. The decoupled Stage-3 condition ran a ported HTML build of the L1 game layer on participants' own computers: L0 was replaced by trackpad or arrow-key input (or a foot-pad sensor where available), and the L3/L4 clinical pipeline was absent rather than merely suppressed. The full adaptive-learning reference stack adds three further layers (L5 User-Facing Trajectory, L6 Staff Coaching Protocol, L7 Adaptive-Learning Telemetry) without altering the underlying signal path.</w:t>
      </w:r>
    </w:p>
    <w:p>
      <w:pPr>
        <w:pStyle w:val="Heading3"/>
      </w:pPr>
      <w:bookmarkStart w:id="177" w:name="_Toc2320246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E.1 · Layers L0–L4 (Stage-2 Operational)</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pPr>
              <w:pStyle w:val="Normal"/>
            </w:pPr>
            <w:r>
              <w:rPr>
                <w:b/>
                <w:sz w:val="24"/>
                <w:szCs w:val="22"/>
                <w:lang w:val="en-US" w:eastAsia="en-US" w:bidi="ar-SA"/>
                <w:rFonts w:ascii="Times New Roman" w:hAnsi="Times New Roman" w:eastAsia="Times New Roman" w:cs="Times New Roman"/>
              </w:rPr>
              <w:t>Construct</w:t>
            </w:r>
          </w:p>
        </w:tc>
        <w:tc>
          <w:tcPr>
            <w:tcW w:w="5952" w:type="dxa"/>
          </w:tcPr>
          <w:p>
            <w:pPr>
              <w:pStyle w:val="Normal"/>
            </w:pPr>
            <w:r>
              <w:rPr>
                <w:b/>
                <w:sz w:val="24"/>
                <w:szCs w:val="22"/>
                <w:lang w:val="en-US" w:eastAsia="en-US" w:bidi="ar-SA"/>
                <w:rFonts w:ascii="Times New Roman" w:hAnsi="Times New Roman" w:eastAsia="Times New Roman" w:cs="Times New Roman"/>
              </w:rPr>
              <w:t>Definition</w:t>
            </w:r>
          </w:p>
        </w:tc>
      </w:tr>
      <w:tr w:rsidR="0062437E" w14:paraId="662CB72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FIDS</w:t>
            </w:r>
          </w:p>
        </w:tc>
        <w:tc>
          <w:tcPr>
            <w:tcW w:w="5952"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FIAS</w:t>
            </w:r>
          </w:p>
        </w:tc>
        <w:tc>
          <w:tcPr>
            <w:tcW w:w="5952" w:type="dxa"/>
          </w:tcPr>
          <w:p>
            <w:pPr>
              <w:pStyle w:val="Normal"/>
            </w:pPr>
            <w:r>
              <w:rPr>
                <w:szCs w:val="22"/>
                <w:lang w:val="en-US" w:eastAsia="en-US" w:bidi="ar-SA"/>
                <w:rFonts w:ascii="Times New Roman" w:hAnsi="Times New Roman" w:eastAsia="Times New Roman" w:cs="Times New Roman"/>
                <w:sz w:val="24"/>
              </w:rP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Objective-Score-Improvement/Non-Return Paradox</w:t>
            </w:r>
          </w:p>
        </w:tc>
        <w:tc>
          <w:tcPr>
            <w:tcW w:w="5952"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Decoupling</w:t>
            </w:r>
          </w:p>
        </w:tc>
        <w:tc>
          <w:tcPr>
            <w:tcW w:w="5952"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5952"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Frame-Suppression</w:t>
            </w:r>
          </w:p>
        </w:tc>
        <w:tc>
          <w:tcPr>
            <w:tcW w:w="5952"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Commitment Gap</w:t>
            </w:r>
          </w:p>
        </w:tc>
        <w:tc>
          <w:tcPr>
            <w:tcW w:w="5952"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Adaptive-Learning Framework</w:t>
            </w:r>
          </w:p>
        </w:tc>
        <w:tc>
          <w:tcPr>
            <w:tcW w:w="5952"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Entropy Constraint</w:t>
            </w:r>
          </w:p>
        </w:tc>
        <w:tc>
          <w:tcPr>
            <w:tcW w:w="5952"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M0 / M1 / M2</w:t>
            </w:r>
          </w:p>
        </w:tc>
        <w:tc>
          <w:tcPr>
            <w:tcW w:w="5952"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Decision-Curve Analysis</w:t>
            </w:r>
          </w:p>
        </w:tc>
        <w:tc>
          <w:tcPr>
            <w:tcW w:w="5952" w:type="dxa"/>
          </w:tcPr>
          <w:p>
            <w:pPr>
              <w:pStyle w:val="Normal"/>
            </w:pPr>
            <w:r>
              <w:rPr>
                <w:sz w:val="24"/>
                <w:szCs w:val="22"/>
                <w:lang w:val="en-US" w:eastAsia="en-US" w:bidi="ar-SA"/>
                <w:rFonts w:ascii="Times New Roman" w:hAnsi="Times New Roman" w:eastAsia="Times New Roman" w:cs="Times New Roman"/>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Adaptive Learning</w:t>
            </w:r>
          </w:p>
        </w:tc>
        <w:tc>
          <w:tcPr>
            <w:tcW w:w="5952"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G · Raw Data, Photographs and Supplementary Materials</w:t>
      </w:r>
      <w:bookmarkEnd w:id="181"/>
    </w:p>
    <w:p>
      <w:pPr>
        <w:pStyle w:val="Normal"/>
        <w:jc w:val="both"/>
      </w:pPr>
      <w:r>
        <w:rPr>
          <w:szCs w:val="22"/>
          <w:lang w:val="en-US" w:eastAsia="en-US" w:bidi="ar-SA"/>
          <w:rFonts w:ascii="Times New Roman" w:hAnsi="Times New Roman" w:eastAsia="Times New Roman" w:cs="Times New Roman"/>
          <w:sz w:val="24"/>
        </w:rP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pPr>
      <w:r>
        <w:rPr>
          <w:i w:val="0"/>
          <w:szCs w:val="22"/>
          <w:lang w:val="en-US" w:eastAsia="en-US" w:bidi="ar-SA"/>
          <w:rFonts w:ascii="Times New Roman" w:hAnsi="Times New Roman" w:eastAsia="Times New Roman" w:cs="Times New Roman"/>
          <w:sz w:val="24"/>
        </w:rPr>
        <w:t xml:space="preserve">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r>
        <w:t>G.4  Photographs of the Guangzhou Stage-2 deployment (consented).</w:t>
      </w:r>
    </w:p>
    <w:p>
      <w:r>
        <w:t>G.5  The Stage-3 distribution and return e-mail record (de-identified index of dates, channels and returned files).</w:t>
      </w:r>
    </w:p>
    <w:p>
      <w:r>
        <w:t>G.6  Screenshots of the skiing game at each difficulty level (1–5).</w:t>
      </w:r>
    </w:p>
    <w:p>
      <w:r>
        <w:rPr>
          <w:i w:val="0"/>
        </w:rPr>
        <w:t>G.7  AI prompt-template archive used in Layer 2 (system and user prompts, versions and settings).</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pStyle w:val="Heading2"/>
      </w:pPr>
      <w:r>
        <w:t>Appendix H · Expert Consultation Record</w:t>
      </w:r>
    </w:p>
    <w:p>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r>
        <w:t>H.3  Summary of the consultation (author's notes). (1) The author introduced the research: Stages 1-3, the findings, and the null hypothesis.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r>
        <w:t>H.5  Interview guide (as used). The consultation followed a semi-structured guide (45-60 minutes; archived as Expert_Interview_Guide_2026.docx, Appendix G item G.8),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Submission Draft v21</dc:title>
  <dc:subject>EngD thesis revised following academic methodological review</dc:subject>
  <dc:creator>python-docx</dc:creator>
  <cp:keywords/>
  <dc:description>V32: comparator-boundary argument — what gerontechnology misses; the contribution as AI arrives.</dc:description>
  <cp:lastModifiedBy>TAM, Sidney [Student]</cp:lastModifiedBy>
  <cp:revision>6</cp:revision>
  <cp:lastPrinted>2026-07-11T05:43:00Z</cp:lastPrinted>
  <dcterms:created xsi:type="dcterms:W3CDTF">2026-07-03T09:50:00Z</dcterms:created>
  <dcterms:modified xsi:type="dcterms:W3CDTF">2026-07-11T10:34:00Z</dcterms:modified>
  <cp:category/>
</cp:coreProperties>
</file>