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r>
        <w:rPr>
          <w:highlight w:val="yellow"/>
        </w:rPr>
        <w:t>REVIEW COPY V38 - AUTHOR INPUT CHECKLIST (this page and every yellow mark must be resolved and removed before submission). Outstanding inputs: (1) exact HSESC approval date from the approval memo (s3.4 says 'August 2026'); (2) SS-293 camera-ready text for the consent-statement check; (3) the as-sent Mar-Apr 2026 participant invitation original (Appendix D/G.5); (4) photos of the two Stage-2 paper instruments (Appendix C); (5) verbatim Mandarin Stage-1 survey items + response CSV (Appendix A, G.1); (6) FIAS thirteen-attribute coding table + inter-coder kappa (Appendix B); (7) D1-D2 response scale (5 vs 7) + bilingual wording (Appendix D); (8) Stage-2 AI endpoint record - vendor/model/prompts/config (G.7) and whether session telemetry/AI-call logs were retained (G.2 or one disclosed sentence); (9) control person's written consent for Figure 5.1A (G.8); (10) Stage-3 participant-level logbook: distributor wrappers + questionnaire returns, or the disclosure sentence that compilation remains partial (s6.4); (11) Stage 3B results when the window closes (s8.8); (12) Dr Lau second consultation: game feedback, Mirror clearance, member-check (s8.5A, H.6); (13) member-checks for Dr Choy's and Dr Lau's summaries; (14) screenshots to re-send as files (dated invitations, Choy/Wong/Lau WhatsApp chains, HSEARS dashboard, ICMSS acceptance letter); (15) final Word field refresh (Ctrl+A, F9) + full verification sweep + proofread.</w:t>
      </w:r>
      <w:r>
        <w:rPr>
          <w:highlight w:val="yellow"/>
        </w:rPr>
        <w:t xml:space="preserve"> (16) Examiner-style review of 5 Sep 2026 (archived in evidence/): text-level calibration applied in V38 - stage-role vocabulary (decoupling comparison, not attribution experiment/positive control), candidate-boundary phrasing, H0 framing note, QFD relabelled qualitative requirements mapping, new rivals s8.5.10 (consequence-avoidance) and continuance comparison (Bhattacherjee 2001), s5.3.9 chronology note, Table 9.3 statuses recalibrated. RECORD-DEPENDENT items awaiting the mid-September records: ethics documentary set (memo + authorised scope + basis for all-30 analysis), source-to-result manifest (Appendix G stub), build-lineage matrix (Appendix G stub), participant-journey reconstruction (timestamps/definitions), FRA index measurement provenance, instrument reproduction (Appendix A/C/D), denominator reconciliation. Evidence cut-off to be declared when the records land.</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a between-cohort decoupling comparison, offered the same game mechanics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Pr>
        <w:t>Chapter 4 Stage 1 — From FIDS to FIAS</w:t>
      </w:r>
      <w:r>
        <w:rPr>
          <w:szCs w:val="22"/>
          <w:lang w:val="en-US" w:eastAsia="en-US" w:bidi="ar-SA"/>
        </w:rPr>
        <w:tab/>
      </w:r>
      <w:r>
        <w:rPr>
          <w:szCs w:val="22"/>
          <w:lang w:val="en-US" w:eastAsia="en-US" w:bidi="ar-SA"/>
        </w:rPr>
        <w:t>28</w:t>
      </w:r>
    </w:p>
    <w:p>
      <w:pPr>
        <w:pStyle w:val="TOC2"/>
        <w:tabs>
          <w:tab w:val="right" w:leader="dot" w:pos="8495"/>
        </w:tabs>
        <w:rPr>
          <w:noProof/>
        </w:rPr>
      </w:pPr>
      <w:r>
        <w:rPr>
          <w:szCs w:val="22"/>
          <w:lang w:val="en-US" w:eastAsia="en-US" w:bidi="ar-SA"/>
        </w:rPr>
        <w:t>4.1 Purpose</w:t>
      </w:r>
      <w:r>
        <w:rPr>
          <w:szCs w:val="22"/>
          <w:lang w:val="en-US" w:eastAsia="en-US" w:bidi="ar-SA"/>
        </w:rPr>
        <w:tab/>
      </w:r>
      <w:r>
        <w:rPr>
          <w:szCs w:val="22"/>
          <w:lang w:val="en-US" w:eastAsia="en-US" w:bidi="ar-SA"/>
        </w:rPr>
        <w:t>28</w:t>
      </w:r>
    </w:p>
    <w:p>
      <w:pPr>
        <w:pStyle w:val="TOC2"/>
        <w:tabs>
          <w:tab w:val="right" w:leader="dot" w:pos="8495"/>
        </w:tabs>
        <w:rPr>
          <w:noProof/>
        </w:rPr>
      </w:pPr>
      <w:r>
        <w:rPr>
          <w:szCs w:val="22"/>
          <w:lang w:val="en-US" w:eastAsia="en-US" w:bidi="ar-SA"/>
        </w:rPr>
        <w:t>4.1A What is Fall Risk Assessment (FRA)? Basic System Design and Features</w:t>
      </w:r>
      <w:r>
        <w:rPr>
          <w:szCs w:val="22"/>
          <w:lang w:val="en-US" w:eastAsia="en-US" w:bidi="ar-SA"/>
        </w:rPr>
        <w:tab/>
      </w:r>
      <w:r>
        <w:rPr>
          <w:szCs w:val="22"/>
          <w:lang w:val="en-US" w:eastAsia="en-US" w:bidi="ar-SA"/>
        </w:rPr>
        <w:t>29</w:t>
      </w:r>
    </w:p>
    <w:p>
      <w:pPr>
        <w:pStyle w:val="TOC2"/>
        <w:tabs>
          <w:tab w:val="right" w:leader="dot" w:pos="8495"/>
        </w:tabs>
        <w:rPr>
          <w:noProof/>
        </w:rPr>
      </w:pPr>
      <w:r>
        <w:rPr>
          <w:szCs w:val="22"/>
          <w:lang w:val="en-US" w:eastAsia="en-US" w:bidi="ar-SA"/>
        </w:rPr>
        <w:t>4.2 The Guangzhou Survey (N = 200 of 280 Residents)</w:t>
      </w:r>
      <w:r>
        <w:rPr>
          <w:szCs w:val="22"/>
          <w:lang w:val="en-US" w:eastAsia="en-US" w:bidi="ar-SA"/>
        </w:rPr>
        <w:tab/>
      </w:r>
      <w:r>
        <w:rPr>
          <w:szCs w:val="22"/>
          <w:lang w:val="en-US" w:eastAsia="en-US" w:bidi="ar-SA"/>
        </w:rPr>
        <w:t>31</w:t>
      </w:r>
    </w:p>
    <w:p>
      <w:pPr>
        <w:pStyle w:val="TOC2"/>
        <w:tabs>
          <w:tab w:val="right" w:leader="dot" w:pos="8495"/>
        </w:tabs>
        <w:rPr>
          <w:noProof/>
        </w:rPr>
      </w:pPr>
      <w:r>
        <w:rPr>
          <w:szCs w:val="22"/>
          <w:lang w:val="en-US" w:eastAsia="en-US" w:bidi="ar-SA"/>
        </w:rPr>
        <w:t>4.3 TAM, STAM and the Limitation for Retired Users</w:t>
      </w:r>
      <w:r>
        <w:rPr>
          <w:szCs w:val="22"/>
          <w:lang w:val="en-US" w:eastAsia="en-US" w:bidi="ar-SA"/>
        </w:rPr>
        <w:tab/>
      </w:r>
      <w:r>
        <w:rPr>
          <w:szCs w:val="22"/>
          <w:lang w:val="en-US" w:eastAsia="en-US" w:bidi="ar-SA"/>
        </w:rPr>
        <w:t>32</w:t>
      </w:r>
    </w:p>
    <w:p>
      <w:pPr>
        <w:pStyle w:val="TOC2"/>
        <w:tabs>
          <w:tab w:val="right" w:leader="dot" w:pos="8495"/>
        </w:tabs>
        <w:rPr>
          <w:noProof/>
        </w:rPr>
      </w:pPr>
      <w:r>
        <w:rPr>
          <w:szCs w:val="22"/>
          <w:lang w:val="en-US" w:eastAsia="en-US" w:bidi="ar-SA"/>
        </w:rPr>
        <w:t>4.4 Octalysis and the In-Game Loss Assumption</w:t>
      </w:r>
      <w:r>
        <w:rPr>
          <w:szCs w:val="22"/>
          <w:lang w:val="en-US" w:eastAsia="en-US" w:bidi="ar-SA"/>
        </w:rPr>
        <w:tab/>
      </w:r>
      <w:r>
        <w:rPr>
          <w:szCs w:val="22"/>
          <w:lang w:val="en-US" w:eastAsia="en-US" w:bidi="ar-SA"/>
        </w:rPr>
        <w:t>32</w:t>
      </w:r>
    </w:p>
    <w:p>
      <w:pPr>
        <w:pStyle w:val="TOC2"/>
        <w:tabs>
          <w:tab w:val="right" w:leader="dot" w:pos="8495"/>
        </w:tabs>
        <w:rPr>
          <w:noProof/>
        </w:rPr>
      </w:pPr>
      <w:r>
        <w:rPr>
          <w:szCs w:val="22"/>
          <w:lang w:val="en-US" w:eastAsia="en-US" w:bidi="ar-SA"/>
        </w:rPr>
        <w:t>4.5 Behavioural Science Lenses</w:t>
      </w:r>
      <w:r>
        <w:rPr>
          <w:szCs w:val="22"/>
          <w:lang w:val="en-US" w:eastAsia="en-US" w:bidi="ar-SA"/>
        </w:rPr>
        <w:tab/>
      </w:r>
      <w:r>
        <w:rPr>
          <w:szCs w:val="22"/>
          <w:lang w:val="en-US" w:eastAsia="en-US" w:bidi="ar-SA"/>
        </w:rPr>
        <w:t>33</w:t>
      </w:r>
    </w:p>
    <w:p>
      <w:pPr>
        <w:pStyle w:val="TOC2"/>
        <w:tabs>
          <w:tab w:val="right" w:leader="dot" w:pos="8495"/>
        </w:tabs>
        <w:rPr>
          <w:noProof/>
        </w:rPr>
      </w:pPr>
      <w:r>
        <w:rPr>
          <w:szCs w:val="22"/>
          <w:lang w:val="en-US" w:eastAsia="en-US" w:bidi="ar-SA"/>
        </w:rPr>
        <w:t>4.6 Terminological Correction: FIDS to FIAS</w:t>
      </w:r>
      <w:r>
        <w:rPr>
          <w:szCs w:val="22"/>
          <w:lang w:val="en-US" w:eastAsia="en-US" w:bidi="ar-SA"/>
        </w:rPr>
        <w:tab/>
      </w:r>
      <w:r>
        <w:rPr>
          <w:szCs w:val="22"/>
          <w:lang w:val="en-US" w:eastAsia="en-US" w:bidi="ar-SA"/>
        </w:rPr>
        <w:t>33</w:t>
      </w:r>
    </w:p>
    <w:p>
      <w:pPr>
        <w:pStyle w:val="TOC2"/>
        <w:tabs>
          <w:tab w:val="right" w:leader="dot" w:pos="8495"/>
        </w:tabs>
        <w:rPr>
          <w:noProof/>
        </w:rPr>
      </w:pPr>
      <w:r>
        <w:rPr>
          <w:szCs w:val="22"/>
          <w:lang w:val="en-US" w:eastAsia="en-US" w:bidi="ar-SA"/>
        </w:rPr>
        <w:t>4.7 Cross-Cultural Reference Point</w:t>
      </w:r>
      <w:r>
        <w:rPr>
          <w:szCs w:val="22"/>
          <w:lang w:val="en-US" w:eastAsia="en-US" w:bidi="ar-SA"/>
        </w:rPr>
        <w:tab/>
      </w:r>
      <w:r>
        <w:rPr>
          <w:szCs w:val="22"/>
          <w:lang w:val="en-US" w:eastAsia="en-US" w:bidi="ar-SA"/>
        </w:rPr>
        <w:t>34</w:t>
      </w:r>
    </w:p>
    <w:p>
      <w:pPr>
        <w:pStyle w:val="TOC2"/>
        <w:tabs>
          <w:tab w:val="right" w:leader="dot" w:pos="8495"/>
        </w:tabs>
        <w:rPr>
          <w:noProof/>
        </w:rPr>
      </w:pPr>
      <w:r>
        <w:rPr>
          <w:szCs w:val="22"/>
          <w:lang w:val="en-US" w:eastAsia="en-US" w:bidi="ar-SA"/>
        </w:rPr>
        <w:t>4.8 Output and Stage-1 Limitations</w:t>
      </w:r>
      <w:r>
        <w:rPr>
          <w:szCs w:val="22"/>
          <w:lang w:val="en-US" w:eastAsia="en-US" w:bidi="ar-SA"/>
        </w:rPr>
        <w:tab/>
      </w:r>
      <w:r>
        <w:rPr>
          <w:szCs w:val="22"/>
          <w:lang w:val="en-US" w:eastAsia="en-US" w:bidi="ar-SA"/>
        </w:rPr>
        <w:t>34</w:t>
      </w:r>
    </w:p>
    <w:p>
      <w:pPr>
        <w:pStyle w:val="TOC1"/>
        <w:tabs>
          <w:tab w:val="right" w:leader="dot" w:pos="8495"/>
        </w:tabs>
        <w:rPr>
          <w:noProof/>
        </w:rPr>
      </w:pPr>
      <w:r>
        <w:rPr>
          <w:szCs w:val="22"/>
          <w:lang w:val="en-US" w:eastAsia="en-US" w:bidi="ar-SA"/>
        </w:rPr>
        <w:t>Chapter 5 Stage 2 — Action Research with Gamified FRA</w:t>
      </w:r>
      <w:r>
        <w:rPr>
          <w:szCs w:val="22"/>
          <w:lang w:val="en-US" w:eastAsia="en-US" w:bidi="ar-SA"/>
        </w:rPr>
        <w:tab/>
      </w:r>
      <w:r>
        <w:rPr>
          <w:szCs w:val="22"/>
          <w:lang w:val="en-US" w:eastAsia="en-US" w:bidi="ar-SA"/>
        </w:rPr>
        <w:t>35</w:t>
      </w:r>
    </w:p>
    <w:p>
      <w:pPr>
        <w:pStyle w:val="TOC2"/>
        <w:tabs>
          <w:tab w:val="right" w:leader="dot" w:pos="8495"/>
        </w:tabs>
        <w:rPr>
          <w:noProof/>
        </w:rPr>
      </w:pPr>
      <w:r>
        <w:rPr>
          <w:szCs w:val="22"/>
          <w:lang w:val="en-US" w:eastAsia="en-US" w:bidi="ar-SA"/>
        </w:rPr>
        <w:t>5.1 Research Questions and Hypotheses</w:t>
      </w:r>
      <w:r>
        <w:rPr>
          <w:szCs w:val="22"/>
          <w:lang w:val="en-US" w:eastAsia="en-US" w:bidi="ar-SA"/>
        </w:rPr>
        <w:tab/>
      </w:r>
      <w:r>
        <w:rPr>
          <w:szCs w:val="22"/>
          <w:lang w:val="en-US" w:eastAsia="en-US" w:bidi="ar-SA"/>
        </w:rPr>
        <w:t>35</w:t>
      </w:r>
    </w:p>
    <w:p>
      <w:pPr>
        <w:pStyle w:val="TOC2"/>
        <w:tabs>
          <w:tab w:val="right" w:leader="dot" w:pos="8495"/>
        </w:tabs>
        <w:rPr>
          <w:noProof/>
        </w:rPr>
      </w:pPr>
      <w:r>
        <w:rPr>
          <w:szCs w:val="22"/>
          <w:lang w:val="en-US" w:eastAsia="en-US" w:bidi="ar-SA"/>
        </w:rPr>
        <w:t>5.2 Setting and Action-Research Approach</w:t>
      </w:r>
      <w:r>
        <w:rPr>
          <w:szCs w:val="22"/>
          <w:lang w:val="en-US" w:eastAsia="en-US" w:bidi="ar-SA"/>
        </w:rPr>
        <w:tab/>
      </w:r>
      <w:r>
        <w:rPr>
          <w:szCs w:val="22"/>
          <w:lang w:val="en-US" w:eastAsia="en-US" w:bidi="ar-SA"/>
        </w:rPr>
        <w:t>35</w:t>
      </w:r>
    </w:p>
    <w:p>
      <w:pPr>
        <w:pStyle w:val="TOC2"/>
        <w:tabs>
          <w:tab w:val="right" w:leader="dot" w:pos="8495"/>
        </w:tabs>
        <w:rPr>
          <w:noProof/>
        </w:rPr>
      </w:pPr>
      <w:r>
        <w:rPr>
          <w:szCs w:val="22"/>
          <w:lang w:val="en-US" w:eastAsia="en-US" w:bidi="ar-SA"/>
        </w:rPr>
        <w:t>5.2A Integrating the FRA into the Skiing Game: The Dual-Purpose Mechanic in Detail</w:t>
      </w:r>
      <w:r>
        <w:rPr>
          <w:szCs w:val="22"/>
          <w:lang w:val="en-US" w:eastAsia="en-US" w:bidi="ar-SA"/>
        </w:rPr>
        <w:tab/>
      </w:r>
      <w:r>
        <w:rPr>
          <w:szCs w:val="22"/>
          <w:lang w:val="en-US" w:eastAsia="en-US" w:bidi="ar-SA"/>
        </w:rPr>
        <w:t>36</w:t>
      </w:r>
    </w:p>
    <w:p>
      <w:pPr>
        <w:pStyle w:val="TOC2"/>
        <w:tabs>
          <w:tab w:val="right" w:leader="dot" w:pos="8495"/>
        </w:tabs>
        <w:rPr>
          <w:noProof/>
        </w:rPr>
      </w:pPr>
      <w:r>
        <w:rPr>
          <w:szCs w:val="22"/>
          <w:lang w:val="en-US" w:eastAsia="en-US" w:bidi="ar-SA"/>
        </w:rPr>
        <w:t>5.3 The Gamified Intervention — Skiing Game on the InBody Pressure Panel</w:t>
      </w:r>
      <w:r>
        <w:rPr>
          <w:szCs w:val="22"/>
          <w:lang w:val="en-US" w:eastAsia="en-US" w:bidi="ar-SA"/>
        </w:rPr>
        <w:tab/>
      </w:r>
      <w:r>
        <w:rPr>
          <w:szCs w:val="22"/>
          <w:lang w:val="en-US" w:eastAsia="en-US" w:bidi="ar-SA"/>
        </w:rPr>
        <w:t>39</w:t>
      </w:r>
    </w:p>
    <w:p>
      <w:pPr>
        <w:pStyle w:val="TOC3"/>
        <w:tabs>
          <w:tab w:val="right" w:leader="dot" w:pos="8495"/>
        </w:tabs>
        <w:rPr>
          <w:noProof/>
        </w:rPr>
      </w:pPr>
      <w:r>
        <w:rPr>
          <w:szCs w:val="22"/>
          <w:lang w:val="en-US" w:eastAsia="en-US" w:bidi="ar-SA"/>
        </w:rPr>
        <w:t>5.3.1 The InBody Pressure Panel</w:t>
      </w:r>
      <w:r>
        <w:rPr>
          <w:szCs w:val="22"/>
          <w:lang w:val="en-US" w:eastAsia="en-US" w:bidi="ar-SA"/>
        </w:rPr>
        <w:tab/>
      </w:r>
      <w:r>
        <w:rPr>
          <w:szCs w:val="22"/>
          <w:lang w:val="en-US" w:eastAsia="en-US" w:bidi="ar-SA"/>
        </w:rPr>
        <w:t>40</w:t>
      </w:r>
    </w:p>
    <w:p>
      <w:pPr>
        <w:pStyle w:val="TOC3"/>
        <w:tabs>
          <w:tab w:val="right" w:leader="dot" w:pos="8495"/>
        </w:tabs>
        <w:rPr>
          <w:noProof/>
        </w:rPr>
      </w:pPr>
      <w:r>
        <w:rPr>
          <w:szCs w:val="22"/>
          <w:lang w:val="en-US" w:eastAsia="en-US" w:bidi="ar-SA"/>
        </w:rPr>
        <w:t>5.3.2 Game Concept and Gameplay Loop</w:t>
      </w:r>
      <w:r>
        <w:rPr>
          <w:szCs w:val="22"/>
          <w:lang w:val="en-US" w:eastAsia="en-US" w:bidi="ar-SA"/>
        </w:rPr>
        <w:tab/>
      </w:r>
      <w:r>
        <w:rPr>
          <w:szCs w:val="22"/>
          <w:lang w:val="en-US" w:eastAsia="en-US" w:bidi="ar-SA"/>
        </w:rPr>
        <w:t>40</w:t>
      </w:r>
    </w:p>
    <w:p>
      <w:pPr>
        <w:pStyle w:val="TOC3"/>
        <w:tabs>
          <w:tab w:val="right" w:leader="dot" w:pos="8495"/>
        </w:tabs>
        <w:rPr>
          <w:noProof/>
        </w:rPr>
      </w:pPr>
      <w:r>
        <w:rPr>
          <w:szCs w:val="22"/>
          <w:lang w:val="en-US" w:eastAsia="en-US" w:bidi="ar-SA"/>
        </w:rPr>
        <w:t>5.3.3 On-Screen Display</w:t>
      </w:r>
      <w:r>
        <w:rPr>
          <w:szCs w:val="22"/>
          <w:lang w:val="en-US" w:eastAsia="en-US" w:bidi="ar-SA"/>
        </w:rPr>
        <w:tab/>
      </w:r>
      <w:r>
        <w:rPr>
          <w:szCs w:val="22"/>
          <w:lang w:val="en-US" w:eastAsia="en-US" w:bidi="ar-SA"/>
        </w:rPr>
        <w:t>40</w:t>
      </w:r>
    </w:p>
    <w:p>
      <w:pPr>
        <w:pStyle w:val="TOC3"/>
        <w:tabs>
          <w:tab w:val="right" w:leader="dot" w:pos="8495"/>
        </w:tabs>
        <w:rPr>
          <w:noProof/>
        </w:rPr>
      </w:pPr>
      <w:r>
        <w:rPr>
          <w:szCs w:val="22"/>
          <w:lang w:val="en-US" w:eastAsia="en-US" w:bidi="ar-SA"/>
        </w:rPr>
        <w:t>5.3.4 Five-Layer Architecture</w:t>
      </w:r>
      <w:r>
        <w:rPr>
          <w:szCs w:val="22"/>
          <w:lang w:val="en-US" w:eastAsia="en-US" w:bidi="ar-SA"/>
        </w:rPr>
        <w:tab/>
      </w:r>
      <w:r>
        <w:rPr>
          <w:szCs w:val="22"/>
          <w:lang w:val="en-US" w:eastAsia="en-US" w:bidi="ar-SA"/>
        </w:rPr>
        <w:t>41</w:t>
      </w:r>
    </w:p>
    <w:p>
      <w:pPr>
        <w:pStyle w:val="TOC3"/>
        <w:tabs>
          <w:tab w:val="right" w:leader="dot" w:pos="8495"/>
        </w:tabs>
        <w:rPr>
          <w:noProof/>
        </w:rPr>
      </w:pPr>
      <w:r>
        <w:rPr>
          <w:szCs w:val="22"/>
          <w:lang w:val="en-US" w:eastAsia="en-US" w:bidi="ar-SA"/>
        </w:rPr>
        <w:t>5.3.5 Automatic Difficulty Adjustment System</w:t>
      </w:r>
      <w:r>
        <w:rPr>
          <w:szCs w:val="22"/>
          <w:lang w:val="en-US" w:eastAsia="en-US" w:bidi="ar-SA"/>
        </w:rPr>
        <w:tab/>
      </w:r>
      <w:r>
        <w:rPr>
          <w:szCs w:val="22"/>
          <w:lang w:val="en-US" w:eastAsia="en-US" w:bidi="ar-SA"/>
        </w:rPr>
        <w:t>42</w:t>
      </w:r>
    </w:p>
    <w:p>
      <w:pPr>
        <w:pStyle w:val="TOC3"/>
        <w:tabs>
          <w:tab w:val="right" w:leader="dot" w:pos="8495"/>
        </w:tabs>
        <w:rPr>
          <w:noProof/>
        </w:rPr>
      </w:pPr>
      <w:r>
        <w:rPr>
          <w:szCs w:val="22"/>
          <w:lang w:val="en-US" w:eastAsia="en-US" w:bidi="ar-SA"/>
        </w:rPr>
        <w:t>5.3.6 Data Structures and Telemetry</w:t>
      </w:r>
      <w:r>
        <w:rPr>
          <w:szCs w:val="22"/>
          <w:lang w:val="en-US" w:eastAsia="en-US" w:bidi="ar-SA"/>
        </w:rPr>
        <w:tab/>
      </w:r>
      <w:r>
        <w:rPr>
          <w:szCs w:val="22"/>
          <w:lang w:val="en-US" w:eastAsia="en-US" w:bidi="ar-SA"/>
        </w:rPr>
        <w:t>43</w:t>
      </w:r>
    </w:p>
    <w:p>
      <w:pPr>
        <w:pStyle w:val="TOC3"/>
        <w:tabs>
          <w:tab w:val="right" w:leader="dot" w:pos="8495"/>
        </w:tabs>
        <w:rPr>
          <w:noProof/>
        </w:rPr>
      </w:pPr>
      <w:r>
        <w:rPr>
          <w:szCs w:val="22"/>
          <w:lang w:val="en-US" w:eastAsia="en-US" w:bidi="ar-SA"/>
        </w:rPr>
        <w:t>5.3.7 Sample User Profile</w:t>
      </w:r>
      <w:r>
        <w:rPr>
          <w:szCs w:val="22"/>
          <w:lang w:val="en-US" w:eastAsia="en-US" w:bidi="ar-SA"/>
        </w:rPr>
        <w:tab/>
      </w:r>
      <w:r>
        <w:rPr>
          <w:szCs w:val="22"/>
          <w:lang w:val="en-US" w:eastAsia="en-US" w:bidi="ar-SA"/>
        </w:rPr>
        <w:t>43</w:t>
      </w:r>
    </w:p>
    <w:p>
      <w:pPr>
        <w:pStyle w:val="TOC3"/>
        <w:tabs>
          <w:tab w:val="right" w:leader="dot" w:pos="8495"/>
        </w:tabs>
        <w:rPr>
          <w:noProof/>
        </w:rPr>
      </w:pPr>
      <w:r>
        <w:rPr>
          <w:szCs w:val="22"/>
          <w:lang w:val="en-US" w:eastAsia="en-US" w:bidi="ar-SA"/>
        </w:rPr>
        <w:t>5.3.8 Why a Skiing Game?</w:t>
      </w:r>
      <w:r>
        <w:rPr>
          <w:szCs w:val="22"/>
          <w:lang w:val="en-US" w:eastAsia="en-US" w:bidi="ar-SA"/>
        </w:rPr>
        <w:tab/>
      </w:r>
      <w:r>
        <w:rPr>
          <w:szCs w:val="22"/>
          <w:lang w:val="en-US" w:eastAsia="en-US" w:bidi="ar-SA"/>
        </w:rPr>
        <w:t>44</w:t>
      </w:r>
    </w:p>
    <w:p>
      <w:pPr>
        <w:pStyle w:val="TOC3"/>
        <w:tabs>
          <w:tab w:val="right" w:leader="dot" w:pos="8495"/>
        </w:tabs>
        <w:rPr>
          <w:noProof/>
        </w:rPr>
      </w:pPr>
      <w:r>
        <w:rPr>
          <w:szCs w:val="22"/>
          <w:lang w:val="en-US" w:eastAsia="en-US" w:bidi="ar-SA"/>
        </w:rPr>
        <w:t>5.3.9 Development Methodology: The Claude Code-Assisted Workflow</w:t>
      </w:r>
      <w:r>
        <w:rPr>
          <w:szCs w:val="22"/>
          <w:lang w:val="en-US" w:eastAsia="en-US" w:bidi="ar-SA"/>
        </w:rPr>
        <w:tab/>
      </w:r>
      <w:r>
        <w:rPr>
          <w:szCs w:val="22"/>
          <w:lang w:val="en-US" w:eastAsia="en-US" w:bidi="ar-SA"/>
        </w:rPr>
        <w:t>44</w:t>
      </w:r>
    </w:p>
    <w:p>
      <w:pPr>
        <w:pStyle w:val="TOC3"/>
        <w:tabs>
          <w:tab w:val="right" w:leader="dot" w:pos="8495"/>
        </w:tabs>
        <w:rPr>
          <w:noProof/>
        </w:rPr>
      </w:pPr>
      <w:r>
        <w:rPr>
          <w:szCs w:val="22"/>
          <w:lang w:val="en-US" w:eastAsia="en-US" w:bidi="ar-SA"/>
        </w:rPr>
        <w:t>5.3.10 Dynamic Game States: An Agentic-AI-Driven, Loss-Free Game Mechanic (Secondary Contribution)</w:t>
      </w:r>
      <w:r>
        <w:rPr>
          <w:szCs w:val="22"/>
          <w:lang w:val="en-US" w:eastAsia="en-US" w:bidi="ar-SA"/>
        </w:rPr>
        <w:tab/>
      </w:r>
      <w:r>
        <w:rPr>
          <w:szCs w:val="22"/>
          <w:lang w:val="en-US" w:eastAsia="en-US" w:bidi="ar-SA"/>
        </w:rPr>
        <w:t>46</w:t>
      </w:r>
    </w:p>
    <w:p>
      <w:pPr>
        <w:pStyle w:val="TOC2"/>
        <w:tabs>
          <w:tab w:val="right" w:leader="dot" w:pos="8495"/>
        </w:tabs>
        <w:rPr>
          <w:noProof/>
        </w:rPr>
      </w:pPr>
      <w:r>
        <w:rPr>
          <w:szCs w:val="22"/>
          <w:lang w:val="en-US" w:eastAsia="en-US" w:bidi="ar-SA"/>
        </w:rPr>
        <w:t>5.4 Participants and Data Governance</w:t>
      </w:r>
      <w:r>
        <w:rPr>
          <w:szCs w:val="22"/>
          <w:lang w:val="en-US" w:eastAsia="en-US" w:bidi="ar-SA"/>
        </w:rPr>
        <w:tab/>
      </w:r>
      <w:r>
        <w:rPr>
          <w:szCs w:val="22"/>
          <w:lang w:val="en-US" w:eastAsia="en-US" w:bidi="ar-SA"/>
        </w:rPr>
        <w:t>48</w:t>
      </w:r>
    </w:p>
    <w:p>
      <w:pPr>
        <w:pStyle w:val="TOC2"/>
        <w:tabs>
          <w:tab w:val="right" w:leader="dot" w:pos="8495"/>
        </w:tabs>
        <w:rPr>
          <w:noProof/>
        </w:rPr>
      </w:pPr>
      <w:r>
        <w:rPr>
          <w:szCs w:val="22"/>
          <w:lang w:val="en-US" w:eastAsia="en-US" w:bidi="ar-SA"/>
        </w:rPr>
        <w:t>5.5 Quantitative Findings</w:t>
      </w:r>
      <w:r>
        <w:rPr>
          <w:szCs w:val="22"/>
          <w:lang w:val="en-US" w:eastAsia="en-US" w:bidi="ar-SA"/>
        </w:rPr>
        <w:tab/>
      </w:r>
      <w:r>
        <w:rPr>
          <w:szCs w:val="22"/>
          <w:lang w:val="en-US" w:eastAsia="en-US" w:bidi="ar-SA"/>
        </w:rPr>
        <w:t>48</w:t>
      </w:r>
    </w:p>
    <w:p>
      <w:pPr>
        <w:pStyle w:val="TOC2"/>
        <w:tabs>
          <w:tab w:val="right" w:leader="dot" w:pos="8495"/>
        </w:tabs>
        <w:rPr>
          <w:noProof/>
        </w:rPr>
      </w:pPr>
      <w:r>
        <w:rPr>
          <w:szCs w:val="22"/>
          <w:lang w:val="en-US" w:eastAsia="en-US" w:bidi="ar-SA"/>
        </w:rPr>
        <w:t>5.6 The F4 Cluster and the Objective-Score-Improvement/Non-Return Paradox</w:t>
      </w:r>
      <w:r>
        <w:rPr>
          <w:szCs w:val="22"/>
          <w:lang w:val="en-US" w:eastAsia="en-US" w:bidi="ar-SA"/>
        </w:rPr>
        <w:tab/>
      </w:r>
      <w:r>
        <w:rPr>
          <w:szCs w:val="22"/>
          <w:lang w:val="en-US" w:eastAsia="en-US" w:bidi="ar-SA"/>
        </w:rPr>
        <w:t>50</w:t>
      </w:r>
    </w:p>
    <w:p>
      <w:pPr>
        <w:pStyle w:val="TOC2"/>
        <w:tabs>
          <w:tab w:val="right" w:leader="dot" w:pos="8495"/>
        </w:tabs>
        <w:rPr>
          <w:noProof/>
        </w:rPr>
      </w:pPr>
      <w:r>
        <w:rPr>
          <w:szCs w:val="22"/>
          <w:lang w:val="en-US" w:eastAsia="en-US" w:bidi="ar-SA"/>
        </w:rPr>
        <w:t>5.7 Theoretical Extension: Endowment, Stereotype Threat, Domain Reframing</w:t>
      </w:r>
      <w:r>
        <w:rPr>
          <w:szCs w:val="22"/>
          <w:lang w:val="en-US" w:eastAsia="en-US" w:bidi="ar-SA"/>
        </w:rPr>
        <w:tab/>
      </w:r>
      <w:r>
        <w:rPr>
          <w:szCs w:val="22"/>
          <w:lang w:val="en-US" w:eastAsia="en-US" w:bidi="ar-SA"/>
        </w:rPr>
        <w:t>51</w:t>
      </w:r>
    </w:p>
    <w:p>
      <w:pPr>
        <w:pStyle w:val="TOC2"/>
        <w:tabs>
          <w:tab w:val="right" w:leader="dot" w:pos="8495"/>
        </w:tabs>
        <w:rPr>
          <w:noProof/>
        </w:rPr>
      </w:pPr>
      <w:r>
        <w:rPr>
          <w:szCs w:val="22"/>
          <w:lang w:val="en-US" w:eastAsia="en-US" w:bidi="ar-SA"/>
        </w:rPr>
        <w:t>5.8 Information-Entropy Lens</w:t>
      </w:r>
      <w:r>
        <w:rPr>
          <w:szCs w:val="22"/>
          <w:lang w:val="en-US" w:eastAsia="en-US" w:bidi="ar-SA"/>
        </w:rPr>
        <w:tab/>
      </w:r>
      <w:r>
        <w:rPr>
          <w:szCs w:val="22"/>
          <w:lang w:val="en-US" w:eastAsia="en-US" w:bidi="ar-SA"/>
        </w:rPr>
        <w:t>52</w:t>
      </w:r>
    </w:p>
    <w:p>
      <w:pPr>
        <w:pStyle w:val="TOC2"/>
        <w:tabs>
          <w:tab w:val="right" w:leader="dot" w:pos="8495"/>
        </w:tabs>
        <w:rPr>
          <w:noProof/>
        </w:rPr>
      </w:pPr>
      <w:r>
        <w:rPr>
          <w:szCs w:val="22"/>
          <w:lang w:val="en-US" w:eastAsia="en-US" w:bidi="ar-SA"/>
        </w:rPr>
        <w:t>5.9 Limitations and What Stage 2 Establishes</w:t>
      </w:r>
      <w:r>
        <w:rPr>
          <w:szCs w:val="22"/>
          <w:lang w:val="en-US" w:eastAsia="en-US" w:bidi="ar-SA"/>
        </w:rPr>
        <w:tab/>
      </w:r>
      <w:r>
        <w:rPr>
          <w:szCs w:val="22"/>
          <w:lang w:val="en-US" w:eastAsia="en-US" w:bidi="ar-SA"/>
        </w:rPr>
        <w:t>52</w:t>
      </w:r>
    </w:p>
    <w:p>
      <w:pPr>
        <w:pStyle w:val="TOC1"/>
        <w:tabs>
          <w:tab w:val="right" w:leader="dot" w:pos="8495"/>
        </w:tabs>
        <w:rPr>
          <w:noProof/>
        </w:rPr>
      </w:pPr>
      <w:r>
        <w:rPr>
          <w:szCs w:val="22"/>
          <w:lang w:val="en-US" w:eastAsia="en-US" w:bidi="ar-SA"/>
        </w:rPr>
        <w:t>Chapter 6 Stage 3 — Participant-Facing Decoupling: Between-Cohort Evidence for a Frame-Sensitive Account</w:t>
      </w:r>
      <w:r>
        <w:rPr>
          <w:szCs w:val="22"/>
          <w:lang w:val="en-US" w:eastAsia="en-US" w:bidi="ar-SA"/>
        </w:rPr>
        <w:tab/>
      </w:r>
      <w:r>
        <w:rPr>
          <w:szCs w:val="22"/>
          <w:lang w:val="en-US" w:eastAsia="en-US" w:bidi="ar-SA"/>
        </w:rPr>
        <w:t>54</w:t>
      </w:r>
    </w:p>
    <w:p>
      <w:pPr>
        <w:pStyle w:val="TOC2"/>
        <w:tabs>
          <w:tab w:val="right" w:leader="dot" w:pos="8495"/>
        </w:tabs>
        <w:rPr>
          <w:noProof/>
        </w:rPr>
      </w:pPr>
      <w:r>
        <w:rPr>
          <w:szCs w:val="22"/>
          <w:lang w:val="en-US" w:eastAsia="en-US" w:bidi="ar-SA"/>
        </w:rPr>
        <w:t>6.1 Why a Decoupling Stage</w:t>
      </w:r>
      <w:r>
        <w:rPr>
          <w:szCs w:val="22"/>
          <w:lang w:val="en-US" w:eastAsia="en-US" w:bidi="ar-SA"/>
        </w:rPr>
        <w:tab/>
      </w:r>
      <w:r>
        <w:rPr>
          <w:szCs w:val="22"/>
          <w:lang w:val="en-US" w:eastAsia="en-US" w:bidi="ar-SA"/>
        </w:rPr>
        <w:t>54</w:t>
      </w:r>
    </w:p>
    <w:p>
      <w:pPr>
        <w:pStyle w:val="TOC2"/>
        <w:tabs>
          <w:tab w:val="right" w:leader="dot" w:pos="8495"/>
        </w:tabs>
        <w:rPr>
          <w:noProof/>
        </w:rPr>
      </w:pPr>
      <w:r>
        <w:rPr>
          <w:szCs w:val="22"/>
          <w:lang w:val="en-US" w:eastAsia="en-US" w:bidi="ar-SA"/>
        </w:rPr>
        <w:t>6.2 Research Question and Predictions</w:t>
      </w:r>
      <w:r>
        <w:rPr>
          <w:szCs w:val="22"/>
          <w:lang w:val="en-US" w:eastAsia="en-US" w:bidi="ar-SA"/>
        </w:rPr>
        <w:tab/>
      </w:r>
      <w:r>
        <w:rPr>
          <w:szCs w:val="22"/>
          <w:lang w:val="en-US" w:eastAsia="en-US" w:bidi="ar-SA"/>
        </w:rPr>
        <w:t>54</w:t>
      </w:r>
    </w:p>
    <w:p>
      <w:pPr>
        <w:pStyle w:val="TOC2"/>
        <w:tabs>
          <w:tab w:val="right" w:leader="dot" w:pos="8495"/>
        </w:tabs>
        <w:rPr>
          <w:noProof/>
        </w:rPr>
      </w:pPr>
      <w:r>
        <w:rPr>
          <w:szCs w:val="22"/>
          <w:lang w:val="en-US" w:eastAsia="en-US" w:bidi="ar-SA"/>
        </w:rPr>
        <w:t>6.3 Methodology: A Participant-Facing Decoupling Package in a Separate Cohort</w:t>
      </w:r>
      <w:r>
        <w:rPr>
          <w:szCs w:val="22"/>
          <w:lang w:val="en-US" w:eastAsia="en-US" w:bidi="ar-SA"/>
        </w:rPr>
        <w:tab/>
      </w:r>
      <w:r>
        <w:rPr>
          <w:szCs w:val="22"/>
          <w:lang w:val="en-US" w:eastAsia="en-US" w:bidi="ar-SA"/>
        </w:rPr>
        <w:t>54</w:t>
      </w:r>
    </w:p>
    <w:p>
      <w:pPr>
        <w:pStyle w:val="TOC2"/>
        <w:tabs>
          <w:tab w:val="right" w:leader="dot" w:pos="8495"/>
        </w:tabs>
        <w:rPr>
          <w:noProof/>
        </w:rPr>
      </w:pPr>
      <w:r>
        <w:rPr>
          <w:szCs w:val="22"/>
          <w:lang w:val="en-US" w:eastAsia="en-US" w:bidi="ar-SA"/>
        </w:rPr>
        <w:t>6.4 Participants and Apparatus</w:t>
      </w:r>
      <w:r>
        <w:rPr>
          <w:szCs w:val="22"/>
          <w:lang w:val="en-US" w:eastAsia="en-US" w:bidi="ar-SA"/>
        </w:rPr>
        <w:tab/>
      </w:r>
      <w:r>
        <w:rPr>
          <w:szCs w:val="22"/>
          <w:lang w:val="en-US" w:eastAsia="en-US" w:bidi="ar-SA"/>
        </w:rPr>
        <w:t>55</w:t>
      </w:r>
    </w:p>
    <w:p>
      <w:pPr>
        <w:pStyle w:val="TOC2"/>
        <w:tabs>
          <w:tab w:val="right" w:leader="dot" w:pos="8495"/>
        </w:tabs>
        <w:rPr>
          <w:noProof/>
        </w:rPr>
      </w:pPr>
      <w:r>
        <w:rPr>
          <w:szCs w:val="22"/>
          <w:lang w:val="en-US" w:eastAsia="en-US" w:bidi="ar-SA"/>
        </w:rPr>
        <w:t>6.5 Findings: A Substantial Behavioural Shift</w:t>
      </w:r>
      <w:r>
        <w:rPr>
          <w:szCs w:val="22"/>
          <w:lang w:val="en-US" w:eastAsia="en-US" w:bidi="ar-SA"/>
        </w:rPr>
        <w:tab/>
      </w:r>
      <w:r>
        <w:rPr>
          <w:szCs w:val="22"/>
          <w:lang w:val="en-US" w:eastAsia="en-US" w:bidi="ar-SA"/>
        </w:rPr>
        <w:t>55</w:t>
      </w:r>
    </w:p>
    <w:p>
      <w:pPr>
        <w:pStyle w:val="TOC2"/>
        <w:tabs>
          <w:tab w:val="right" w:leader="dot" w:pos="8495"/>
        </w:tabs>
        <w:rPr>
          <w:noProof/>
        </w:rPr>
      </w:pPr>
      <w:r>
        <w:rPr>
          <w:szCs w:val="22"/>
          <w:lang w:val="en-US" w:eastAsia="en-US" w:bidi="ar-SA"/>
        </w:rPr>
        <w:t>6.6 The Objective-Score-Improvement/Non-Return Paradox Reconsidered</w:t>
      </w:r>
      <w:r>
        <w:rPr>
          <w:szCs w:val="22"/>
          <w:lang w:val="en-US" w:eastAsia="en-US" w:bidi="ar-SA"/>
        </w:rPr>
        <w:tab/>
      </w:r>
      <w:r>
        <w:rPr>
          <w:szCs w:val="22"/>
          <w:lang w:val="en-US" w:eastAsia="en-US" w:bidi="ar-SA"/>
        </w:rPr>
        <w:t>57</w:t>
      </w:r>
    </w:p>
    <w:p>
      <w:pPr>
        <w:pStyle w:val="TOC2"/>
        <w:tabs>
          <w:tab w:val="right" w:leader="dot" w:pos="8495"/>
        </w:tabs>
        <w:rPr>
          <w:noProof/>
        </w:rPr>
      </w:pPr>
      <w:r>
        <w:rPr>
          <w:szCs w:val="22"/>
          <w:lang w:val="en-US" w:eastAsia="en-US" w:bidi="ar-SA"/>
        </w:rPr>
        <w:t>6.7 Frame-Sensitive versus Dispositional Accounts: Calibrated Inference</w:t>
      </w:r>
      <w:r>
        <w:rPr>
          <w:szCs w:val="22"/>
          <w:lang w:val="en-US" w:eastAsia="en-US" w:bidi="ar-SA"/>
        </w:rPr>
        <w:tab/>
      </w:r>
      <w:r>
        <w:rPr>
          <w:szCs w:val="22"/>
          <w:lang w:val="en-US" w:eastAsia="en-US" w:bidi="ar-SA"/>
        </w:rPr>
        <w:t>58</w:t>
      </w:r>
    </w:p>
    <w:p>
      <w:pPr>
        <w:pStyle w:val="TOC2"/>
        <w:tabs>
          <w:tab w:val="right" w:leader="dot" w:pos="8495"/>
        </w:tabs>
        <w:rPr>
          <w:noProof/>
        </w:rPr>
      </w:pPr>
      <w:r>
        <w:rPr>
          <w:szCs w:val="22"/>
          <w:lang w:val="en-US" w:eastAsia="en-US" w:bidi="ar-SA"/>
        </w:rPr>
        <w:t>6.8 The Commitment Gap and Its Design Implication</w:t>
      </w:r>
      <w:r>
        <w:rPr>
          <w:szCs w:val="22"/>
          <w:lang w:val="en-US" w:eastAsia="en-US" w:bidi="ar-SA"/>
        </w:rPr>
        <w:tab/>
      </w:r>
      <w:r>
        <w:rPr>
          <w:szCs w:val="22"/>
          <w:lang w:val="en-US" w:eastAsia="en-US" w:bidi="ar-SA"/>
        </w:rPr>
        <w:t>58</w:t>
      </w:r>
    </w:p>
    <w:p>
      <w:pPr>
        <w:pStyle w:val="TOC2"/>
      </w:pPr>
      <w:r>
        <w:rPr>
          <w:szCs w:val="22"/>
          <w:lang w:val="en-US" w:eastAsia="en-US" w:bidi="ar-SA"/>
        </w:rPr>
        <w:t>6.8A The Commitment Gap Read Through Group Dynamics: An Expert Consultation</w:t>
      </w:r>
      <w:r>
        <w:rPr>
          <w:szCs w:val="22"/>
          <w:lang w:val="en-US" w:eastAsia="en-US" w:bidi="ar-SA"/>
        </w:rPr>
        <w:tab/>
      </w:r>
      <w:r>
        <w:rPr>
          <w:szCs w:val="22"/>
          <w:lang w:val="en-US" w:eastAsia="en-US" w:bidi="ar-SA"/>
        </w:rPr>
        <w:t>59</w:t>
      </w:r>
    </w:p>
    <w:p>
      <w:pPr>
        <w:pStyle w:val="TOC2"/>
        <w:tabs>
          <w:tab w:val="right" w:leader="dot" w:pos="8495"/>
        </w:tabs>
        <w:rPr>
          <w:noProof/>
        </w:rPr>
      </w:pPr>
      <w:r>
        <w:rPr>
          <w:szCs w:val="22"/>
          <w:lang w:val="en-US" w:eastAsia="en-US" w:bidi="ar-SA"/>
        </w:rPr>
        <w:t>6.9 Limitations of Stage 3</w:t>
      </w:r>
      <w:r>
        <w:rPr>
          <w:szCs w:val="22"/>
          <w:lang w:val="en-US" w:eastAsia="en-US" w:bidi="ar-SA"/>
        </w:rPr>
        <w:tab/>
      </w:r>
      <w:r>
        <w:rPr>
          <w:szCs w:val="22"/>
          <w:lang w:val="en-US" w:eastAsia="en-US" w:bidi="ar-SA"/>
        </w:rPr>
        <w:t>59</w:t>
      </w:r>
    </w:p>
    <w:p>
      <w:pPr>
        <w:pStyle w:val="TOC2"/>
        <w:tabs>
          <w:tab w:val="right" w:leader="dot" w:pos="8495"/>
        </w:tabs>
        <w:rPr>
          <w:noProof/>
        </w:rPr>
      </w:pPr>
      <w:r>
        <w:rPr>
          <w:szCs w:val="22"/>
          <w:lang w:val="en-US" w:eastAsia="en-US" w:bidi="ar-SA"/>
        </w:rPr>
        <w:t>6.10 Quantitative Comparison Against Existing Models</w:t>
      </w:r>
      <w:r>
        <w:rPr>
          <w:szCs w:val="22"/>
          <w:lang w:val="en-US" w:eastAsia="en-US" w:bidi="ar-SA"/>
        </w:rPr>
        <w:tab/>
      </w:r>
      <w:r>
        <w:rPr>
          <w:szCs w:val="22"/>
          <w:lang w:val="en-US" w:eastAsia="en-US" w:bidi="ar-SA"/>
        </w:rPr>
        <w:t>59</w:t>
      </w:r>
    </w:p>
    <w:p>
      <w:pPr>
        <w:pStyle w:val="TOC3"/>
        <w:tabs>
          <w:tab w:val="right" w:leader="dot" w:pos="8495"/>
        </w:tabs>
        <w:rPr>
          <w:noProof/>
        </w:rPr>
      </w:pPr>
      <w:r>
        <w:rPr>
          <w:szCs w:val="22"/>
          <w:lang w:val="en-US" w:eastAsia="en-US" w:bidi="ar-SA"/>
        </w:rPr>
        <w:t>6.10.1 Three-Tier Nested Model Specification</w:t>
      </w:r>
      <w:r>
        <w:rPr>
          <w:szCs w:val="22"/>
          <w:lang w:val="en-US" w:eastAsia="en-US" w:bidi="ar-SA"/>
        </w:rPr>
        <w:tab/>
      </w:r>
      <w:r>
        <w:rPr>
          <w:szCs w:val="22"/>
          <w:lang w:val="en-US" w:eastAsia="en-US" w:bidi="ar-SA"/>
        </w:rPr>
        <w:t>60</w:t>
      </w:r>
    </w:p>
    <w:p>
      <w:pPr>
        <w:pStyle w:val="TOC3"/>
        <w:tabs>
          <w:tab w:val="right" w:leader="dot" w:pos="8495"/>
        </w:tabs>
        <w:rPr>
          <w:noProof/>
        </w:rPr>
      </w:pPr>
      <w:r>
        <w:rPr>
          <w:szCs w:val="22"/>
          <w:lang w:val="en-US" w:eastAsia="en-US" w:bidi="ar-SA"/>
        </w:rPr>
        <w:t>6.10.2 Statistical Comparison Plan</w:t>
      </w:r>
      <w:r>
        <w:rPr>
          <w:szCs w:val="22"/>
          <w:lang w:val="en-US" w:eastAsia="en-US" w:bidi="ar-SA"/>
        </w:rPr>
        <w:tab/>
      </w:r>
      <w:r>
        <w:rPr>
          <w:szCs w:val="22"/>
          <w:lang w:val="en-US" w:eastAsia="en-US" w:bidi="ar-SA"/>
        </w:rPr>
        <w:t>61</w:t>
      </w:r>
    </w:p>
    <w:p>
      <w:pPr>
        <w:pStyle w:val="TOC3"/>
        <w:tabs>
          <w:tab w:val="right" w:leader="dot" w:pos="8495"/>
        </w:tabs>
        <w:rPr>
          <w:noProof/>
        </w:rPr>
      </w:pPr>
      <w:r>
        <w:rPr>
          <w:szCs w:val="22"/>
          <w:lang w:val="en-US" w:eastAsia="en-US" w:bidi="ar-SA"/>
        </w:rPr>
        <w:t>6.10.3 Decision-Curve Analysis and Practical Significance</w:t>
      </w:r>
      <w:r>
        <w:rPr>
          <w:szCs w:val="22"/>
          <w:lang w:val="en-US" w:eastAsia="en-US" w:bidi="ar-SA"/>
        </w:rPr>
        <w:tab/>
      </w:r>
      <w:r>
        <w:rPr>
          <w:szCs w:val="22"/>
          <w:lang w:val="en-US" w:eastAsia="en-US" w:bidi="ar-SA"/>
        </w:rPr>
        <w:t>61</w:t>
      </w:r>
    </w:p>
    <w:p>
      <w:pPr>
        <w:pStyle w:val="TOC3"/>
        <w:tabs>
          <w:tab w:val="right" w:leader="dot" w:pos="8495"/>
        </w:tabs>
        <w:rPr>
          <w:noProof/>
        </w:rPr>
      </w:pPr>
      <w:r>
        <w:rPr>
          <w:szCs w:val="22"/>
          <w:lang w:val="en-US" w:eastAsia="en-US" w:bidi="ar-SA"/>
        </w:rPr>
        <w:t>6.10.4 Pre-Specified Predictions</w:t>
      </w:r>
      <w:r>
        <w:rPr>
          <w:szCs w:val="22"/>
          <w:lang w:val="en-US" w:eastAsia="en-US" w:bidi="ar-SA"/>
        </w:rPr>
        <w:tab/>
      </w:r>
      <w:r>
        <w:rPr>
          <w:szCs w:val="22"/>
          <w:lang w:val="en-US" w:eastAsia="en-US" w:bidi="ar-SA"/>
        </w:rPr>
        <w:t>61</w:t>
      </w:r>
    </w:p>
    <w:p>
      <w:pPr>
        <w:pStyle w:val="TOC3"/>
        <w:tabs>
          <w:tab w:val="right" w:leader="dot" w:pos="8495"/>
        </w:tabs>
        <w:rPr>
          <w:noProof/>
        </w:rPr>
      </w:pPr>
      <w:r>
        <w:rPr>
          <w:szCs w:val="22"/>
          <w:lang w:val="en-US" w:eastAsia="en-US" w:bidi="ar-SA"/>
        </w:rPr>
        <w:t>6.10.5 Provisional Estimates from the Existing Datasets</w:t>
      </w:r>
      <w:r>
        <w:rPr>
          <w:szCs w:val="22"/>
          <w:lang w:val="en-US" w:eastAsia="en-US" w:bidi="ar-SA"/>
        </w:rPr>
        <w:tab/>
      </w:r>
      <w:r>
        <w:rPr>
          <w:szCs w:val="22"/>
          <w:lang w:val="en-US" w:eastAsia="en-US" w:bidi="ar-SA"/>
        </w:rPr>
        <w:t>61</w:t>
      </w:r>
    </w:p>
    <w:p>
      <w:pPr>
        <w:pStyle w:val="TOC2"/>
        <w:tabs>
          <w:tab w:val="right" w:leader="dot" w:pos="8495"/>
        </w:tabs>
        <w:rPr>
          <w:noProof/>
        </w:rPr>
      </w:pPr>
      <w:r>
        <w:rPr>
          <w:szCs w:val="22"/>
          <w:lang w:val="en-US" w:eastAsia="en-US" w:bidi="ar-SA"/>
        </w:rPr>
        <w:t>6.11 Consolidated Statistical Results</w:t>
      </w:r>
      <w:r>
        <w:rPr>
          <w:szCs w:val="22"/>
          <w:lang w:val="en-US" w:eastAsia="en-US" w:bidi="ar-SA"/>
        </w:rPr>
        <w:tab/>
      </w:r>
      <w:r>
        <w:rPr>
          <w:szCs w:val="22"/>
          <w:lang w:val="en-US" w:eastAsia="en-US" w:bidi="ar-SA"/>
        </w:rPr>
        <w:t>62</w:t>
      </w:r>
    </w:p>
    <w:p>
      <w:pPr>
        <w:pStyle w:val="TOC1"/>
        <w:tabs>
          <w:tab w:val="right" w:leader="dot" w:pos="8495"/>
        </w:tabs>
        <w:rPr>
          <w:noProof/>
        </w:rPr>
      </w:pPr>
      <w:r>
        <w:rPr>
          <w:szCs w:val="22"/>
          <w:lang w:val="en-US" w:eastAsia="en-US" w:bidi="ar-SA"/>
        </w:rPr>
        <w:t>Chapter 7 Discussion: Adaptive Learning as the Behavioural-Change Driver</w:t>
      </w:r>
      <w:r>
        <w:rPr>
          <w:szCs w:val="22"/>
          <w:lang w:val="en-US" w:eastAsia="en-US" w:bidi="ar-SA"/>
        </w:rPr>
        <w:tab/>
      </w:r>
      <w:r>
        <w:rPr>
          <w:szCs w:val="22"/>
          <w:lang w:val="en-US" w:eastAsia="en-US" w:bidi="ar-SA"/>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Pr>
        <w:t>9.7 Theoretical Contributions</w:t>
      </w:r>
      <w:r>
        <w:rPr>
          <w:szCs w:val="22"/>
          <w:lang w:val="en-US" w:eastAsia="en-US" w:bidi="ar-SA"/>
        </w:rPr>
        <w:tab/>
      </w:r>
      <w:r>
        <w:rPr>
          <w:szCs w:val="22"/>
          <w:lang w:val="en-US" w:eastAsia="en-US" w:bidi="ar-SA"/>
        </w:rPr>
        <w:t>85</w:t>
      </w:r>
    </w:p>
    <w:p>
      <w:pPr>
        <w:pStyle w:val="TOC2"/>
        <w:tabs>
          <w:tab w:val="right" w:leader="dot" w:pos="8495"/>
        </w:tabs>
        <w:rPr>
          <w:noProof/>
        </w:rPr>
      </w:pPr>
      <w:r>
        <w:rPr>
          <w:szCs w:val="22"/>
          <w:lang w:val="en-US" w:eastAsia="en-US" w:bidi="ar-SA"/>
        </w:rPr>
        <w:t>9.8 Practical Contributions for Industry and Practice</w:t>
      </w:r>
      <w:r>
        <w:rPr>
          <w:szCs w:val="22"/>
          <w:lang w:val="en-US" w:eastAsia="en-US" w:bidi="ar-SA"/>
        </w:rPr>
        <w:tab/>
      </w:r>
      <w:r>
        <w:rPr>
          <w:szCs w:val="22"/>
          <w:lang w:val="en-US" w:eastAsia="en-US" w:bidi="ar-SA"/>
        </w:rPr>
        <w:t>86</w:t>
      </w:r>
    </w:p>
    <w:p>
      <w:pPr>
        <w:pStyle w:val="TOC2"/>
        <w:tabs>
          <w:tab w:val="right" w:leader="dot" w:pos="8495"/>
        </w:tabs>
        <w:rPr>
          <w:noProof/>
        </w:rPr>
      </w:pPr>
      <w:r>
        <w:rPr>
          <w:szCs w:val="22"/>
          <w:lang w:val="en-US" w:eastAsia="en-US" w:bidi="ar-SA"/>
        </w:rPr>
        <w:t>9.8A A Secondary Contribution to Gamification: Agentic-AI-Driven Dynamic Game States</w:t>
      </w:r>
      <w:r>
        <w:rPr>
          <w:szCs w:val="22"/>
          <w:lang w:val="en-US" w:eastAsia="en-US" w:bidi="ar-SA"/>
        </w:rPr>
        <w:tab/>
      </w:r>
      <w:r>
        <w:rPr>
          <w:szCs w:val="22"/>
          <w:lang w:val="en-US" w:eastAsia="en-US" w:bidi="ar-SA"/>
        </w:rPr>
        <w:t>86</w:t>
      </w:r>
    </w:p>
    <w:p>
      <w:pPr>
        <w:pStyle w:val="TOC2"/>
        <w:tabs>
          <w:tab w:val="right" w:leader="dot" w:pos="8495"/>
        </w:tabs>
        <w:rPr>
          <w:noProof/>
        </w:rPr>
      </w:pPr>
      <w:r>
        <w:rPr>
          <w:szCs w:val="22"/>
          <w:lang w:val="en-US" w:eastAsia="en-US" w:bidi="ar-SA"/>
        </w:rPr>
        <w:t>9.8B Future Research Proposition: From Telemetry-Conditioned to Person-Conditioned Adaptation</w:t>
      </w:r>
      <w:r>
        <w:rPr>
          <w:szCs w:val="22"/>
          <w:lang w:val="en-US" w:eastAsia="en-US" w:bidi="ar-SA"/>
        </w:rPr>
        <w:tab/>
      </w:r>
      <w:r>
        <w:rPr>
          <w:szCs w:val="22"/>
          <w:lang w:val="en-US" w:eastAsia="en-US" w:bidi="ar-SA"/>
        </w:rPr>
        <w:t>87</w:t>
      </w:r>
    </w:p>
    <w:p>
      <w:pPr>
        <w:pStyle w:val="TOC2"/>
        <w:tabs>
          <w:tab w:val="right" w:leader="dot" w:pos="8495"/>
        </w:tabs>
        <w:rPr>
          <w:noProof/>
        </w:rPr>
      </w:pPr>
      <w:r>
        <w:rPr>
          <w:szCs w:val="22"/>
          <w:lang w:val="en-US" w:eastAsia="en-US" w:bidi="ar-SA"/>
        </w:rPr>
        <w:t>9.8C Bounded Implications for AI Evaluation</w:t>
      </w:r>
      <w:r>
        <w:rPr>
          <w:szCs w:val="22"/>
          <w:lang w:val="en-US" w:eastAsia="en-US" w:bidi="ar-SA"/>
        </w:rPr>
        <w:tab/>
      </w:r>
      <w:r>
        <w:rPr>
          <w:szCs w:val="22"/>
          <w:lang w:val="en-US" w:eastAsia="en-US" w:bidi="ar-SA"/>
        </w:rPr>
        <w:t>88</w:t>
      </w:r>
    </w:p>
    <w:p>
      <w:pPr>
        <w:pStyle w:val="TOC2"/>
        <w:tabs>
          <w:tab w:val="right" w:leader="dot" w:pos="8495"/>
        </w:tabs>
        <w:rPr>
          <w:noProof/>
        </w:rPr>
      </w:pPr>
      <w:r>
        <w:rPr>
          <w:szCs w:val="22"/>
          <w:lang w:val="en-US" w:eastAsia="en-US" w:bidi="ar-SA"/>
        </w:rPr>
        <w:t>9.9 Limits of What Has Been Shown</w:t>
      </w:r>
      <w:r>
        <w:rPr>
          <w:szCs w:val="22"/>
          <w:lang w:val="en-US" w:eastAsia="en-US" w:bidi="ar-SA"/>
        </w:rPr>
        <w:tab/>
      </w:r>
      <w:r>
        <w:rPr>
          <w:szCs w:val="22"/>
          <w:lang w:val="en-US" w:eastAsia="en-US" w:bidi="ar-SA"/>
        </w:rPr>
        <w:t>92</w:t>
      </w:r>
    </w:p>
    <w:p>
      <w:pPr>
        <w:pStyle w:val="TOC2"/>
        <w:tabs>
          <w:tab w:val="right" w:leader="dot" w:pos="8495"/>
        </w:tabs>
        <w:rPr>
          <w:noProof/>
        </w:rPr>
      </w:pPr>
      <w:r>
        <w:rPr>
          <w:szCs w:val="22"/>
          <w:lang w:val="en-US" w:eastAsia="en-US" w:bidi="ar-SA"/>
        </w:rPr>
        <w:t>9.10 Natural Extensions</w:t>
      </w:r>
      <w:r>
        <w:rPr>
          <w:szCs w:val="22"/>
          <w:lang w:val="en-US" w:eastAsia="en-US" w:bidi="ar-SA"/>
        </w:rPr>
        <w:tab/>
      </w:r>
      <w:r>
        <w:rPr>
          <w:szCs w:val="22"/>
          <w:lang w:val="en-US" w:eastAsia="en-US" w:bidi="ar-SA"/>
        </w:rPr>
        <w:t>92</w:t>
      </w:r>
    </w:p>
    <w:p>
      <w:pPr>
        <w:pStyle w:val="TOC2"/>
        <w:tabs>
          <w:tab w:val="right" w:leader="dot" w:pos="8495"/>
        </w:tabs>
        <w:rPr>
          <w:noProof/>
        </w:rPr>
      </w:pPr>
      <w:r>
        <w:rPr>
          <w:szCs w:val="22"/>
          <w:lang w:val="en-US" w:eastAsia="en-US" w:bidi="ar-SA"/>
        </w:rPr>
        <w:t>9.11 Returning to the Three F4 Residents</w:t>
      </w:r>
      <w:r>
        <w:rPr>
          <w:szCs w:val="22"/>
          <w:lang w:val="en-US" w:eastAsia="en-US" w:bidi="ar-SA"/>
        </w:rPr>
        <w:tab/>
      </w:r>
      <w:r>
        <w:rPr>
          <w:szCs w:val="22"/>
          <w:lang w:val="en-US" w:eastAsia="en-US" w:bidi="ar-SA"/>
        </w:rPr>
        <w:t>92</w:t>
      </w:r>
    </w:p>
    <w:p>
      <w:pPr>
        <w:pStyle w:val="TOC2"/>
        <w:tabs>
          <w:tab w:val="right" w:leader="dot" w:pos="8495"/>
        </w:tabs>
        <w:rPr>
          <w:noProof/>
        </w:rPr>
      </w:pPr>
      <w:r>
        <w:rPr>
          <w:szCs w:val="22"/>
          <w:lang w:val="en-US" w:eastAsia="en-US" w:bidi="ar-SA"/>
        </w:rPr>
        <w:t>9.12 Closing Synthesis</w:t>
      </w:r>
      <w:r>
        <w:rPr>
          <w:szCs w:val="22"/>
          <w:lang w:val="en-US" w:eastAsia="en-US" w:bidi="ar-SA"/>
        </w:rPr>
        <w:tab/>
      </w:r>
      <w:r>
        <w:rPr>
          <w:szCs w:val="22"/>
          <w:lang w:val="en-US" w:eastAsia="en-US" w:bidi="ar-SA"/>
        </w:rPr>
        <w:t>93</w:t>
      </w:r>
    </w:p>
    <w:p>
      <w:pPr>
        <w:pStyle w:val="TOC1"/>
        <w:tabs>
          <w:tab w:val="right" w:leader="dot" w:pos="8495"/>
        </w:tabs>
        <w:rPr>
          <w:noProof/>
        </w:rPr>
      </w:pPr>
      <w:r>
        <w:rPr>
          <w:szCs w:val="22"/>
          <w:lang w:val="en-US" w:eastAsia="en-US" w:bidi="ar-SA"/>
        </w:rPr>
        <w:t>References</w:t>
      </w:r>
      <w:r>
        <w:rPr>
          <w:szCs w:val="22"/>
          <w:lang w:val="en-US" w:eastAsia="en-US" w:bidi="ar-SA"/>
        </w:rPr>
        <w:tab/>
      </w:r>
      <w:r>
        <w:rPr>
          <w:szCs w:val="22"/>
          <w:lang w:val="en-US" w:eastAsia="en-US" w:bidi="ar-SA"/>
        </w:rPr>
        <w:t>94</w:t>
      </w:r>
    </w:p>
    <w:p>
      <w:pPr>
        <w:pStyle w:val="TOC1"/>
        <w:tabs>
          <w:tab w:val="right" w:leader="dot" w:pos="8495"/>
        </w:tabs>
        <w:rPr>
          <w:noProof/>
        </w:rPr>
      </w:pPr>
      <w:r>
        <w:rPr>
          <w:szCs w:val="22"/>
          <w:lang w:val="en-US" w:eastAsia="en-US" w:bidi="ar-SA"/>
        </w:rPr>
        <w:t>Appendices</w:t>
      </w:r>
      <w:r>
        <w:rPr>
          <w:szCs w:val="22"/>
          <w:lang w:val="en-US" w:eastAsia="en-US" w:bidi="ar-SA"/>
        </w:rPr>
        <w:tab/>
      </w:r>
      <w:r>
        <w:rPr>
          <w:szCs w:val="22"/>
          <w:lang w:val="en-US" w:eastAsia="en-US" w:bidi="ar-SA"/>
        </w:rPr>
        <w:t>101</w:t>
      </w:r>
    </w:p>
    <w:p>
      <w:pPr>
        <w:pStyle w:val="TOC2"/>
        <w:tabs>
          <w:tab w:val="right" w:leader="dot" w:pos="8495"/>
        </w:tabs>
        <w:rPr>
          <w:noProof/>
        </w:rPr>
      </w:pPr>
      <w:r>
        <w:rPr>
          <w:szCs w:val="22"/>
          <w:lang w:val="en-US" w:eastAsia="en-US" w:bidi="ar-SA"/>
        </w:rPr>
        <w:t>Appendix A · Stage-1 Survey Instrument</w:t>
      </w:r>
      <w:r>
        <w:rPr>
          <w:szCs w:val="22"/>
          <w:lang w:val="en-US" w:eastAsia="en-US" w:bidi="ar-SA"/>
        </w:rPr>
        <w:tab/>
      </w:r>
      <w:r>
        <w:rPr>
          <w:szCs w:val="22"/>
          <w:lang w:val="en-US" w:eastAsia="en-US" w:bidi="ar-SA"/>
        </w:rPr>
        <w:t>102</w:t>
      </w:r>
    </w:p>
    <w:p>
      <w:pPr>
        <w:pStyle w:val="TOC3"/>
        <w:tabs>
          <w:tab w:val="right" w:leader="dot" w:pos="8495"/>
        </w:tabs>
        <w:rPr>
          <w:noProof/>
        </w:rPr>
      </w:pPr>
      <w:r>
        <w:rPr>
          <w:szCs w:val="22"/>
          <w:lang w:val="en-US" w:eastAsia="en-US" w:bidi="ar-SA"/>
        </w:rPr>
        <w:t>A.1 · Survey Items</w:t>
      </w:r>
      <w:r>
        <w:rPr>
          <w:szCs w:val="22"/>
          <w:lang w:val="en-US" w:eastAsia="en-US" w:bidi="ar-SA"/>
        </w:rPr>
        <w:tab/>
      </w:r>
      <w:r>
        <w:rPr>
          <w:szCs w:val="22"/>
          <w:lang w:val="en-US" w:eastAsia="en-US" w:bidi="ar-SA"/>
        </w:rPr>
        <w:t>102</w:t>
      </w:r>
    </w:p>
    <w:p>
      <w:pPr>
        <w:pStyle w:val="TOC2"/>
        <w:tabs>
          <w:tab w:val="right" w:leader="dot" w:pos="8495"/>
        </w:tabs>
        <w:rPr>
          <w:noProof/>
        </w:rPr>
      </w:pPr>
      <w:r>
        <w:rPr>
          <w:szCs w:val="22"/>
          <w:lang w:val="en-US" w:eastAsia="en-US" w:bidi="ar-SA"/>
        </w:rPr>
        <w:t>Appendix B · Stage-2 FIAS Coding Scheme</w:t>
      </w:r>
      <w:r>
        <w:rPr>
          <w:szCs w:val="22"/>
          <w:lang w:val="en-US" w:eastAsia="en-US" w:bidi="ar-SA"/>
        </w:rPr>
        <w:tab/>
      </w:r>
      <w:r>
        <w:rPr>
          <w:szCs w:val="22"/>
          <w:lang w:val="en-US" w:eastAsia="en-US" w:bidi="ar-SA"/>
        </w:rPr>
        <w:t>103</w:t>
      </w:r>
    </w:p>
    <w:p>
      <w:pPr>
        <w:pStyle w:val="TOC2"/>
        <w:tabs>
          <w:tab w:val="right" w:leader="dot" w:pos="8495"/>
        </w:tabs>
        <w:rPr>
          <w:noProof/>
        </w:rPr>
      </w:pPr>
      <w:r>
        <w:rPr>
          <w:szCs w:val="22"/>
          <w:lang w:val="en-US" w:eastAsia="en-US" w:bidi="ar-SA"/>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Pr>
        <w:t>C.1 · Question Set</w:t>
      </w:r>
      <w:r>
        <w:rPr>
          <w:szCs w:val="22"/>
          <w:lang w:val="en-US" w:eastAsia="en-US" w:bidi="ar-SA"/>
        </w:rPr>
        <w:tab/>
      </w:r>
      <w:r>
        <w:rPr>
          <w:szCs w:val="22"/>
          <w:lang w:val="en-US" w:eastAsia="en-US" w:bidi="ar-SA"/>
        </w:rPr>
        <w:t>104</w:t>
      </w:r>
    </w:p>
    <w:p>
      <w:pPr>
        <w:pStyle w:val="TOC2"/>
        <w:tabs>
          <w:tab w:val="right" w:leader="dot" w:pos="8495"/>
        </w:tabs>
        <w:rPr>
          <w:noProof/>
        </w:rPr>
      </w:pPr>
      <w:r>
        <w:rPr>
          <w:szCs w:val="22"/>
          <w:lang w:val="en-US" w:eastAsia="en-US" w:bidi="ar-SA"/>
        </w:rPr>
        <w:t>Appendix D · Stage-3 Decoupling Questionnaire</w:t>
      </w:r>
      <w:r>
        <w:rPr>
          <w:szCs w:val="22"/>
          <w:lang w:val="en-US" w:eastAsia="en-US" w:bidi="ar-SA"/>
        </w:rPr>
        <w:tab/>
      </w:r>
      <w:r>
        <w:rPr>
          <w:szCs w:val="22"/>
          <w:lang w:val="en-US" w:eastAsia="en-US" w:bidi="ar-SA"/>
        </w:rPr>
        <w:t>105</w:t>
      </w:r>
    </w:p>
    <w:p>
      <w:pPr>
        <w:pStyle w:val="TOC3"/>
        <w:tabs>
          <w:tab w:val="right" w:leader="dot" w:pos="8495"/>
        </w:tabs>
        <w:rPr>
          <w:noProof/>
        </w:rPr>
      </w:pPr>
      <w:r>
        <w:rPr>
          <w:szCs w:val="22"/>
          <w:lang w:val="en-US" w:eastAsia="en-US" w:bidi="ar-SA"/>
        </w:rPr>
        <w:t>D.1 · Post-Session Items</w:t>
      </w:r>
      <w:r>
        <w:rPr>
          <w:szCs w:val="22"/>
          <w:lang w:val="en-US" w:eastAsia="en-US" w:bidi="ar-SA"/>
        </w:rPr>
        <w:tab/>
      </w:r>
      <w:r>
        <w:rPr>
          <w:szCs w:val="22"/>
          <w:lang w:val="en-US" w:eastAsia="en-US" w:bidi="ar-SA"/>
        </w:rPr>
        <w:t>105</w:t>
      </w:r>
    </w:p>
    <w:p>
      <w:pPr>
        <w:pStyle w:val="TOC3"/>
        <w:tabs>
          <w:tab w:val="right" w:leader="dot" w:pos="8495"/>
        </w:tabs>
        <w:rPr>
          <w:noProof/>
        </w:rPr>
      </w:pPr>
      <w:r>
        <w:rPr>
          <w:szCs w:val="22"/>
          <w:lang w:val="en-US" w:eastAsia="en-US" w:bidi="ar-SA"/>
        </w:rPr>
        <w:t>D.2 · Demographic Block (At Enrolment)</w:t>
      </w:r>
      <w:r>
        <w:rPr>
          <w:szCs w:val="22"/>
          <w:lang w:val="en-US" w:eastAsia="en-US" w:bidi="ar-SA"/>
        </w:rPr>
        <w:tab/>
      </w:r>
      <w:r>
        <w:rPr>
          <w:szCs w:val="22"/>
          <w:lang w:val="en-US" w:eastAsia="en-US" w:bidi="ar-SA"/>
        </w:rPr>
        <w:t>105</w:t>
      </w:r>
    </w:p>
    <w:p>
      <w:pPr>
        <w:pStyle w:val="TOC2"/>
        <w:tabs>
          <w:tab w:val="right" w:leader="dot" w:pos="8495"/>
        </w:tabs>
        <w:rPr>
          <w:noProof/>
        </w:rPr>
      </w:pPr>
      <w:r>
        <w:rPr>
          <w:szCs w:val="22"/>
          <w:lang w:val="en-US" w:eastAsia="en-US" w:bidi="ar-SA"/>
        </w:rPr>
        <w:t>Appendix E · Five-Layer Architecture and Adaptive-Learning Reference Stack</w:t>
      </w:r>
      <w:r>
        <w:rPr>
          <w:szCs w:val="22"/>
          <w:lang w:val="en-US" w:eastAsia="en-US" w:bidi="ar-SA"/>
        </w:rPr>
        <w:tab/>
      </w:r>
      <w:r>
        <w:rPr>
          <w:szCs w:val="22"/>
          <w:lang w:val="en-US" w:eastAsia="en-US" w:bidi="ar-SA"/>
        </w:rPr>
        <w:t>106</w:t>
      </w:r>
    </w:p>
    <w:p>
      <w:pPr>
        <w:pStyle w:val="TOC3"/>
        <w:tabs>
          <w:tab w:val="right" w:leader="dot" w:pos="8495"/>
        </w:tabs>
        <w:rPr>
          <w:noProof/>
        </w:rPr>
      </w:pPr>
      <w:r>
        <w:rPr>
          <w:szCs w:val="22"/>
          <w:lang w:val="en-US" w:eastAsia="en-US" w:bidi="ar-SA"/>
        </w:rPr>
        <w:t>E.1 · Layers L0–L4 (Stage-2 Operational)</w:t>
      </w:r>
      <w:r>
        <w:rPr>
          <w:szCs w:val="22"/>
          <w:lang w:val="en-US" w:eastAsia="en-US" w:bidi="ar-SA"/>
        </w:rPr>
        <w:tab/>
      </w:r>
      <w:r>
        <w:rPr>
          <w:szCs w:val="22"/>
          <w:lang w:val="en-US" w:eastAsia="en-US" w:bidi="ar-SA"/>
        </w:rPr>
        <w:t>106</w:t>
      </w:r>
    </w:p>
    <w:p>
      <w:pPr>
        <w:pStyle w:val="TOC3"/>
        <w:tabs>
          <w:tab w:val="right" w:leader="dot" w:pos="8495"/>
        </w:tabs>
        <w:rPr>
          <w:noProof/>
        </w:rPr>
      </w:pPr>
      <w:r>
        <w:rPr>
          <w:szCs w:val="22"/>
          <w:lang w:val="en-US" w:eastAsia="en-US" w:bidi="ar-SA"/>
        </w:rPr>
        <w:t>E.2 · Layers L5–L7 (Adaptive-Learning Reference Stack)</w:t>
      </w:r>
      <w:r>
        <w:rPr>
          <w:szCs w:val="22"/>
          <w:lang w:val="en-US" w:eastAsia="en-US" w:bidi="ar-SA"/>
        </w:rPr>
        <w:tab/>
      </w:r>
      <w:r>
        <w:rPr>
          <w:szCs w:val="22"/>
          <w:lang w:val="en-US" w:eastAsia="en-US" w:bidi="ar-SA"/>
        </w:rPr>
        <w:t>106</w:t>
      </w:r>
    </w:p>
    <w:p>
      <w:pPr>
        <w:pStyle w:val="TOC3"/>
        <w:tabs>
          <w:tab w:val="right" w:leader="dot" w:pos="8495"/>
        </w:tabs>
        <w:rPr>
          <w:noProof/>
        </w:rPr>
      </w:pPr>
      <w:r>
        <w:rPr>
          <w:szCs w:val="22"/>
          <w:lang w:val="en-US" w:eastAsia="en-US" w:bidi="ar-SA"/>
        </w:rPr>
        <w:t>E.3 · AI Safety Provisions</w:t>
      </w:r>
      <w:r>
        <w:rPr>
          <w:szCs w:val="22"/>
          <w:lang w:val="en-US" w:eastAsia="en-US" w:bidi="ar-SA"/>
        </w:rPr>
        <w:tab/>
      </w:r>
      <w:r>
        <w:rPr>
          <w:szCs w:val="22"/>
          <w:lang w:val="en-US" w:eastAsia="en-US" w:bidi="ar-SA"/>
        </w:rPr>
        <w:t>107</w:t>
      </w:r>
    </w:p>
    <w:p>
      <w:pPr>
        <w:pStyle w:val="TOC2"/>
      </w:pPr>
      <w:r>
        <w:rPr>
          <w:szCs w:val="22"/>
          <w:lang w:val="en-US" w:eastAsia="en-US" w:bidi="ar-SA"/>
        </w:rPr>
        <w:t>Appendix F · Glossary of Key Constructs</w:t>
      </w:r>
      <w:r>
        <w:rPr>
          <w:szCs w:val="22"/>
          <w:lang w:val="en-US" w:eastAsia="en-US" w:bidi="ar-SA"/>
        </w:rPr>
        <w:tab/>
      </w:r>
      <w:r>
        <w:rPr>
          <w:szCs w:val="22"/>
          <w:lang w:val="en-US" w:eastAsia="en-US" w:bidi="ar-SA"/>
        </w:rPr>
        <w:t>108</w:t>
      </w:r>
    </w:p>
    <w:p>
      <w:pPr>
        <w:pStyle w:val="TOC2"/>
        <w:spacing w:after="200" w:line="276" w:lineRule="auto"/>
        <w:rPr>
          <w:rFonts w:asciiTheme="majorHAnsi" w:eastAsiaTheme="majorEastAsia" w:hAnsiTheme="majorHAnsi" w:cstheme="majorBidi"/>
          <w:b/>
          <w:bCs/>
          <w:color w:val="000000"/>
          <w:sz w:val="32"/>
          <w:szCs w:val="32"/>
        </w:rPr>
      </w:pPr>
      <w:r>
        <w:rPr>
          <w:color w:val="000000"/>
          <w:szCs w:val="28"/>
        </w:rPr>
        <w:t>Appendix G · Raw Data, Photographs and Supplementary Materials</w:t>
      </w:r>
      <w:r>
        <w:rPr>
          <w:rFonts w:asciiTheme="majorHAnsi" w:eastAsiaTheme="majorEastAsia" w:hAnsiTheme="majorHAnsi" w:cstheme="majorBidi"/>
          <w:color w:val="000000"/>
          <w:szCs w:val="32"/>
        </w:rPr>
        <w:tab/>
      </w:r>
      <w:r>
        <w:rPr>
          <w:color w:val="000000"/>
          <w:szCs w:val="28"/>
        </w:rPr>
        <w:t>110</w:t>
      </w:r>
    </w:p>
    <w:p>
      <w:pPr>
        <w:pStyle w:val="TOC2"/>
      </w:pPr>
      <w:r>
        <w:rPr>
          <w:szCs w:val="22"/>
          <w:lang w:val="en-US" w:eastAsia="en-US" w:bidi="ar-SA"/>
        </w:rPr>
        <w:t>Appendix H · Expert Consultation Record</w:t>
      </w:r>
      <w:r>
        <w:rPr>
          <w:szCs w:val="22"/>
          <w:lang w:val="en-US" w:eastAsia="en-US" w:bidi="ar-SA"/>
        </w:rPr>
        <w:tab/>
      </w:r>
      <w:r>
        <w:rPr>
          <w:szCs w:val="22"/>
          <w:lang w:val="en-US" w:eastAsia="en-US" w:bidi="ar-SA"/>
        </w:rPr>
        <w:t>112</w:t>
      </w:r>
    </w:p>
    <w:p>
      <w:pPr>
        <w:pStyle w:val="Heading1"/>
      </w:pPr>
      <w:r>
        <w:rPr>
          <w:lang w:val="en-US" w:eastAsia="en-US" w:bidi="ar-SA"/>
          <w:color w:val="000000"/>
          <w:szCs w:val="28"/>
        </w:rPr>
        <w:t>List of Figures</w:t>
      </w:r>
    </w:p>
    <w:p>
      <w:pPr>
        <w:pStyle w:val="TOC1"/>
      </w:pPr>
      <w:r>
        <w:rPr>
          <w:szCs w:val="22"/>
          <w:lang w:val="en-US" w:eastAsia="en-US" w:bidi="ar-SA"/>
        </w:rPr>
        <w:t>Figure 1.1. The intellectual structure of the thesis: from industrial problem through FIAS, the adaptive-learning framework and the dynamic game-state engine to the industrial outcome.</w:t>
      </w:r>
      <w:r>
        <w:rPr>
          <w:szCs w:val="22"/>
          <w:lang w:val="en-US" w:eastAsia="en-US" w:bidi="ar-SA"/>
        </w:rPr>
        <w:tab/>
      </w:r>
      <w:r>
        <w:rPr>
          <w:szCs w:val="22"/>
          <w:lang w:val="en-US" w:eastAsia="en-US" w:bidi="ar-SA"/>
        </w:rPr>
        <w:t>9</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szCs w:val="22"/>
          <w:lang w:val="en-HK" w:eastAsia="zh-CN"/>
        </w:rPr>
        <w:t>26</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szCs w:val="22"/>
          <w:lang w:val="en-HK" w:eastAsia="zh-CN"/>
        </w:rPr>
        <w:t>30</w:t>
      </w:r>
    </w:p>
    <w:p>
      <w:pPr>
        <w:pStyle w:val="TOC1"/>
      </w:pPr>
      <w:r>
        <w:rPr>
          <w:szCs w:val="22"/>
          <w:lang w:val="en-US" w:eastAsia="en-US" w:bidi="ar-SA"/>
        </w:rPr>
        <w:t>Figure 4.1B. The FRA balance station as deployed in the rehabilitation room of the Guangzhou facility.</w:t>
      </w:r>
      <w:r>
        <w:rPr>
          <w:szCs w:val="22"/>
          <w:lang w:val="en-US" w:eastAsia="en-US" w:bidi="ar-SA"/>
        </w:rPr>
        <w:tab/>
      </w:r>
      <w:r>
        <w:rPr>
          <w:szCs w:val="22"/>
          <w:lang w:val="en-US" w:eastAsia="en-US" w:bidi="ar-SA"/>
        </w:rPr>
        <w:t>36</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szCs w:val="22"/>
          <w:lang w:val="en-HK" w:eastAsia="zh-CN"/>
        </w:rPr>
        <w:t>36</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szCs w:val="22"/>
          <w:lang w:val="en-HK" w:eastAsia="zh-CN"/>
        </w:rPr>
        <w:t>40</w:t>
      </w:r>
    </w:p>
    <w:p>
      <w:pPr>
        <w:pStyle w:val="TOC1"/>
      </w:pPr>
      <w:r>
        <w:rPr>
          <w:szCs w:val="22"/>
          <w:lang w:val="en-US" w:eastAsia="en-US" w:bidi="ar-SA"/>
        </w:rPr>
        <w:t>Figure 5.1A. The platform-game coupling demonstrated by a control person (development office, August 2024).</w:t>
      </w:r>
      <w:r>
        <w:rPr>
          <w:szCs w:val="22"/>
          <w:lang w:val="en-US" w:eastAsia="en-US" w:bidi="ar-SA"/>
        </w:rPr>
        <w:tab/>
      </w:r>
      <w:r>
        <w:rPr>
          <w:szCs w:val="22"/>
          <w:lang w:val="en-US" w:eastAsia="en-US" w:bidi="ar-SA"/>
        </w:rPr>
        <w:t>40</w:t>
      </w:r>
    </w:p>
    <w:p>
      <w:pPr>
        <w:pStyle w:val="TOC1"/>
      </w:pPr>
      <w:r>
        <w:rPr>
          <w:szCs w:val="22"/>
          <w:lang w:val="en-US" w:eastAsia="en-US" w:bidi="ar-SA"/>
        </w:rPr>
        <w:t>Figure 5.1B. The deployed game artefact across difficulty levels 1–5 (screenshots from the archived game build).</w:t>
      </w:r>
      <w:r>
        <w:rPr>
          <w:szCs w:val="22"/>
          <w:lang w:val="en-US" w:eastAsia="en-US" w:bidi="ar-SA"/>
        </w:rPr>
        <w:tab/>
      </w:r>
      <w:r>
        <w:rPr>
          <w:szCs w:val="22"/>
          <w:lang w:val="en-US" w:eastAsia="en-US" w:bidi="ar-SA"/>
        </w:rPr>
        <w:t>40</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szCs w:val="22"/>
          <w:lang w:val="en-HK" w:eastAsia="zh-CN"/>
        </w:rPr>
        <w:t>42</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szCs w:val="22"/>
          <w:lang w:val="en-HK" w:eastAsia="zh-CN"/>
        </w:rPr>
        <w:t>46</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5.4. Participant-level pre/post recorded FRA index for the Stage-2 cohort (N = 30), by engagement group.</w:t>
      </w:r>
      <w:r>
        <w:rPr>
          <w:rFonts w:asciiTheme="minorHAnsi" w:hAnsiTheme="minorHAnsi"/>
          <w:szCs w:val="24"/>
          <w:lang w:val="en-HK" w:eastAsia="zh-CN"/>
        </w:rPr>
        <w:tab/>
      </w:r>
      <w:r>
        <w:rPr>
          <w:szCs w:val="22"/>
          <w:lang w:val="en-HK" w:eastAsia="zh-CN"/>
        </w:rPr>
        <w:t>49</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szCs w:val="22"/>
          <w:lang w:val="en-HK" w:eastAsia="zh-CN"/>
        </w:rPr>
        <w:t>50</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szCs w:val="22"/>
          <w:lang w:val="en-HK" w:eastAsia="zh-CN"/>
        </w:rPr>
        <w:t>51</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szCs w:val="22"/>
          <w:lang w:val="en-HK" w:eastAsia="zh-CN"/>
        </w:rPr>
        <w:t>52</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6.1. Stage-3 retention and observed non-return at the end of the study window by age band (N = 120).</w:t>
      </w:r>
      <w:r>
        <w:rPr>
          <w:rFonts w:asciiTheme="minorHAnsi" w:hAnsiTheme="minorHAnsi"/>
          <w:szCs w:val="24"/>
          <w:lang w:val="en-HK" w:eastAsia="zh-CN"/>
        </w:rPr>
        <w:tab/>
      </w:r>
      <w:r>
        <w:rPr>
          <w:szCs w:val="22"/>
          <w:lang w:val="en-HK" w:eastAsia="zh-CN"/>
        </w:rPr>
        <w:t>57</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6.2. Return behaviour after initial dropout, by age band: 62.5% return rate in the 65–80 band.</w:t>
      </w:r>
      <w:r>
        <w:rPr>
          <w:rFonts w:asciiTheme="minorHAnsi" w:hAnsiTheme="minorHAnsi"/>
          <w:szCs w:val="24"/>
          <w:lang w:val="en-HK" w:eastAsia="zh-CN"/>
        </w:rPr>
        <w:tab/>
      </w:r>
      <w:r>
        <w:rPr>
          <w:szCs w:val="22"/>
          <w:lang w:val="en-HK" w:eastAsia="zh-CN"/>
        </w:rPr>
        <w:t>57</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6.3. Retention versus regular-use intention by age band: the 29.3-pp commitment gap in the 65–80 band.</w:t>
      </w:r>
      <w:r>
        <w:rPr>
          <w:rFonts w:asciiTheme="minorHAnsi" w:hAnsiTheme="minorHAnsi"/>
          <w:szCs w:val="24"/>
          <w:lang w:val="en-HK" w:eastAsia="zh-CN"/>
        </w:rPr>
        <w:tab/>
      </w:r>
      <w:r>
        <w:rPr>
          <w:szCs w:val="22"/>
          <w:lang w:val="en-HK" w:eastAsia="zh-CN"/>
        </w:rPr>
        <w:t>59</w:t>
      </w:r>
    </w:p>
    <w:p>
      <w:pPr>
        <w:pStyle w:val="TOC1"/>
        <w:tabs>
          <w:tab w:val="right" w:leader="dot" w:pos="8495"/>
        </w:tabs>
        <w:rPr>
          <w:rFonts w:asciiTheme="minorHAnsi" w:hAnsiTheme="minorHAnsi"/>
          <w:noProof/>
          <w:kern w:val="2"/>
          <w:szCs w:val="24"/>
          <w:lang w:val="en-HK" w:eastAsia="zh-CN"/>
          <w14:ligatures w14:val="standardContextual"/>
        </w:rPr>
      </w:pPr>
      <w:r>
        <w:rPr>
          <w:szCs w:val="22"/>
          <w:lang w:val="en-HK" w:eastAsia="zh-CN"/>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szCs w:val="22"/>
          <w:lang w:val="en-HK" w:eastAsia="zh-CN"/>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szCs w:val="24"/>
          <w:lang w:val="en-HK" w:eastAsia="zh-CN"/>
        </w:rPr>
        <w:t>90</w:t>
      </w:r>
    </w:p>
    <w:p>
      <w:pPr>
        <w:pStyle w:val="Normal"/>
      </w:pPr>
    </w:p>
    <w:p>
      <w:pPr>
        <w:pStyle w:val="Heading1"/>
      </w:pPr>
      <w:bookmarkStart w:id="3" w:name="_Toc232024494"/>
      <w:r>
        <w:rPr>
          <w:lang w:val="en-US" w:eastAsia="en-US" w:bidi="ar-SA"/>
          <w:color w:val="000000"/>
          <w:szCs w:val="28"/>
        </w:rPr>
        <w:t>List of Tables</w:t>
      </w:r>
      <w:bookmarkEnd w:id="3"/>
    </w:p>
    <w:p>
      <w:pPr>
        <w:pStyle w:val="TOC1"/>
      </w:pPr>
      <w:r>
        <w:rPr>
          <w:szCs w:val="22"/>
          <w:lang w:val="en-US" w:eastAsia="en-US" w:bidi="ar-SA"/>
        </w:rPr>
        <w:t>Table 2.1. From the rejected null hypothesis to candidate mechanisms: the structure of the FIAS account.</w:t>
      </w:r>
    </w:p>
    <w:p>
      <w:pPr>
        <w:pStyle w:val="TOC1"/>
      </w:pPr>
      <w:r>
        <w:rPr>
          <w:szCs w:val="22"/>
          <w:lang w:val="en-US" w:eastAsia="en-US" w:bidi="ar-SA"/>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4.2. TAM limitations for elderly FRA users.</w:t>
      </w:r>
      <w:r>
        <w:rPr>
          <w:rFonts w:asciiTheme="minorHAnsi" w:hAnsiTheme="minorHAnsi"/>
          <w:szCs w:val="24"/>
          <w:lang w:val="en-HK" w:eastAsia="zh-CN"/>
        </w:rPr>
        <w:tab/>
      </w:r>
      <w:r>
        <w:rPr>
          <w:szCs w:val="24"/>
          <w:lang w:val="en-HK" w:eastAsia="zh-CN"/>
        </w:rPr>
        <w:t>32</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4.3. Octalysis drives contextualised against STAM characteristics.</w:t>
      </w:r>
      <w:r>
        <w:rPr>
          <w:rFonts w:asciiTheme="minorHAnsi" w:hAnsiTheme="minorHAnsi"/>
          <w:szCs w:val="24"/>
          <w:lang w:val="en-HK" w:eastAsia="zh-CN"/>
        </w:rPr>
        <w:tab/>
      </w:r>
      <w:r>
        <w:rPr>
          <w:szCs w:val="24"/>
          <w:lang w:val="en-HK" w:eastAsia="zh-CN"/>
        </w:rPr>
        <w:t>33</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szCs w:val="24"/>
          <w:lang w:val="en-HK" w:eastAsia="zh-CN"/>
        </w:rPr>
        <w:t>38</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5.1. Skiing game data structure summary.</w:t>
      </w:r>
      <w:r>
        <w:rPr>
          <w:rFonts w:asciiTheme="minorHAnsi" w:hAnsiTheme="minorHAnsi"/>
          <w:szCs w:val="24"/>
          <w:lang w:val="en-HK" w:eastAsia="zh-CN"/>
        </w:rPr>
        <w:tab/>
      </w:r>
      <w:r>
        <w:rPr>
          <w:szCs w:val="24"/>
          <w:lang w:val="en-HK" w:eastAsia="zh-CN"/>
        </w:rPr>
        <w:t>43</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5.2. Stage-2 engagement pattern (N = 30).</w:t>
      </w:r>
      <w:r>
        <w:rPr>
          <w:rFonts w:asciiTheme="minorHAnsi" w:hAnsiTheme="minorHAnsi"/>
          <w:szCs w:val="24"/>
          <w:lang w:val="en-HK" w:eastAsia="zh-CN"/>
        </w:rPr>
        <w:tab/>
      </w:r>
      <w:r>
        <w:rPr>
          <w:szCs w:val="24"/>
          <w:lang w:val="en-HK" w:eastAsia="zh-CN"/>
        </w:rPr>
        <w:t>48</w:t>
      </w:r>
    </w:p>
    <w:p>
      <w:pPr>
        <w:jc w:val="both"/>
      </w:pPr>
      <w:r>
        <w:t>A methodological note governs the matrix's status: it is a qualitative requirements mapping presented in QFD style, not an auditable QFD deployment. The user-need rows are the researcher's interpretations of the Stage-1 and Stage-2 evidence, not verbatim elicited requirements; no numerical importance weights or prioritisation calculation were performed; and the relationship symbols record judged, not measured, association strength.</w:t>
      </w:r>
    </w:p>
    <w:p>
      <w:pPr>
        <w:pStyle w:val="TOC1"/>
      </w:pPr>
      <w:r>
        <w:rPr>
          <w:szCs w:val="22"/>
          <w:lang w:val="en-US" w:eastAsia="en-US" w:bidi="ar-SA"/>
        </w:rPr>
        <w:t>Table 5.3. Qualitative requirements mapping (QFD-style):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6.1. Stage-3 overall engagement and dropout (N = 120).</w:t>
      </w:r>
      <w:r>
        <w:rPr>
          <w:rFonts w:asciiTheme="minorHAnsi" w:hAnsiTheme="minorHAnsi"/>
          <w:szCs w:val="24"/>
          <w:lang w:val="en-HK" w:eastAsia="zh-CN"/>
        </w:rPr>
        <w:tab/>
      </w:r>
      <w:r>
        <w:rPr>
          <w:szCs w:val="24"/>
          <w:lang w:val="en-HK" w:eastAsia="zh-CN"/>
        </w:rPr>
        <w:t>55</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6.2. Stage-3 age-stratified engagement.</w:t>
      </w:r>
      <w:r>
        <w:rPr>
          <w:rFonts w:asciiTheme="minorHAnsi" w:hAnsiTheme="minorHAnsi"/>
          <w:szCs w:val="24"/>
          <w:lang w:val="en-HK" w:eastAsia="zh-CN"/>
        </w:rPr>
        <w:tab/>
      </w:r>
      <w:r>
        <w:rPr>
          <w:szCs w:val="24"/>
          <w:lang w:val="en-HK" w:eastAsia="zh-CN"/>
        </w:rPr>
        <w:t>55</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6.3. Stage-3 coordination endorsement and regular-use intention by age band.</w:t>
      </w:r>
      <w:r>
        <w:rPr>
          <w:rFonts w:asciiTheme="minorHAnsi" w:hAnsiTheme="minorHAnsi"/>
          <w:szCs w:val="24"/>
          <w:lang w:val="en-HK" w:eastAsia="zh-CN"/>
        </w:rPr>
        <w:tab/>
      </w:r>
      <w:r>
        <w:rPr>
          <w:szCs w:val="24"/>
          <w:lang w:val="en-HK" w:eastAsia="zh-CN"/>
        </w:rPr>
        <w:t>56</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6.4. Three-tier nested model specification for the FIAS-vs-TAM/STAM quantitative comparison.</w:t>
      </w:r>
      <w:r>
        <w:rPr>
          <w:rFonts w:asciiTheme="minorHAnsi" w:hAnsiTheme="minorHAnsi"/>
          <w:szCs w:val="24"/>
          <w:lang w:val="en-HK" w:eastAsia="zh-CN"/>
        </w:rPr>
        <w:tab/>
      </w:r>
      <w:r>
        <w:rPr>
          <w:szCs w:val="24"/>
          <w:lang w:val="en-HK" w:eastAsia="zh-CN"/>
        </w:rPr>
        <w:t>60</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6.5. Consolidated statistical results for the key contrasts of Stages 2 and 3.</w:t>
      </w:r>
      <w:r>
        <w:rPr>
          <w:rFonts w:asciiTheme="minorHAnsi" w:hAnsiTheme="minorHAnsi"/>
          <w:szCs w:val="24"/>
          <w:lang w:val="en-HK" w:eastAsia="zh-CN"/>
        </w:rPr>
        <w:tab/>
      </w:r>
      <w:r>
        <w:rPr>
          <w:szCs w:val="24"/>
          <w:lang w:val="en-HK" w:eastAsia="zh-CN"/>
        </w:rPr>
        <w:t>62</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7.1. Adaptive-learning principles, function and empirical anchor.</w:t>
      </w:r>
      <w:r>
        <w:rPr>
          <w:rFonts w:asciiTheme="minorHAnsi" w:hAnsiTheme="minorHAnsi"/>
          <w:szCs w:val="24"/>
          <w:lang w:val="en-HK" w:eastAsia="zh-CN"/>
        </w:rPr>
        <w:tab/>
      </w:r>
      <w:r>
        <w:rPr>
          <w:szCs w:val="24"/>
          <w:lang w:val="en-HK" w:eastAsia="zh-CN"/>
        </w:rPr>
        <w:t>66</w:t>
      </w:r>
    </w:p>
    <w:p>
      <w:pPr>
        <w:pStyle w:val="TOC1"/>
      </w:pPr>
      <w:r>
        <w:rPr>
          <w:szCs w:val="22"/>
          <w:lang w:val="en-US" w:eastAsia="en-US" w:bidi="ar-SA"/>
        </w:rPr>
        <w:t>Table 8.0. The four contribution registers and where each is stated.</w:t>
      </w:r>
      <w:r>
        <w:rPr>
          <w:szCs w:val="22"/>
          <w:lang w:val="en-US" w:eastAsia="en-US" w:bidi="ar-SA"/>
        </w:rPr>
        <w:tab/>
      </w:r>
      <w:r>
        <w:rPr>
          <w:szCs w:val="22"/>
          <w:lang w:val="en-US" w:eastAsia="en-US" w:bidi="ar-SA"/>
        </w:rPr>
        <w:t>72</w:t>
      </w:r>
    </w:p>
    <w:p>
      <w:pPr>
        <w:pStyle w:val="TOC1"/>
        <w:tabs>
          <w:tab w:val="right" w:leader="dot" w:pos="8495"/>
        </w:tabs>
        <w:rPr>
          <w:rFonts w:asciiTheme="minorHAnsi" w:hAnsiTheme="minorHAnsi"/>
          <w:noProof/>
          <w:kern w:val="2"/>
          <w:szCs w:val="24"/>
          <w:lang w:val="en-HK" w:eastAsia="zh-CN"/>
          <w14:ligatures w14:val="standardContextual"/>
        </w:rPr>
      </w:pPr>
      <w:r>
        <w:rPr>
          <w:szCs w:val="24"/>
          <w:lang w:val="en-HK" w:eastAsia="zh-CN"/>
        </w:rPr>
        <w:t>Table 7.2. Adaptive-learning reference stack (L0–L7) mapped to adaptive-learning principles.</w:t>
      </w:r>
      <w:r>
        <w:rPr>
          <w:rFonts w:asciiTheme="minorHAnsi" w:hAnsiTheme="minorHAnsi"/>
          <w:szCs w:val="24"/>
          <w:lang w:val="en-HK" w:eastAsia="zh-CN"/>
        </w:rPr>
        <w:tab/>
      </w:r>
      <w:r>
        <w:rPr>
          <w:szCs w:val="24"/>
          <w:lang w:val="en-HK" w:eastAsia="zh-CN"/>
        </w:rPr>
        <w:t>66</w:t>
      </w:r>
    </w:p>
    <w:p>
      <w:pPr>
        <w:pStyle w:val="TOC1"/>
      </w:pPr>
      <w:r>
        <w:rPr>
          <w:szCs w:val="22"/>
          <w:lang w:val="en-US" w:eastAsia="en-US" w:bidi="ar-SA"/>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Pr>
        <w:tab/>
      </w:r>
      <w:r>
        <w:rPr>
          <w:szCs w:val="22"/>
          <w:lang w:val="en-US" w:eastAsia="en-US" w:bidi="ar-SA"/>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tblHeader/>
        </w:trPr>
        <w:tc>
          <w:tcPr>
            <w:tcW w:w="2324" w:type="dxa"/>
          </w:tcPr>
          <w:p>
            <w:pPr>
              <w:pStyle w:val="Normal"/>
            </w:pPr>
            <w:r>
              <w:rPr>
                <w:b/>
                <w:sz w:val="20"/>
                <w:szCs w:val="22"/>
                <w:lang w:val="en-US" w:eastAsia="en-US" w:bidi="ar-SA"/>
                <w:rFonts w:ascii="Times New Roman" w:hAnsi="Times New Roman" w:eastAsia="Times New Roman" w:cs="Times New Roman"/>
              </w:rPr>
              <w:t>AI</w:t>
            </w:r>
          </w:p>
        </w:tc>
        <w:tc>
          <w:tcPr>
            <w:tcW w:w="6181"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highlight w:val="yellow"/>
        </w:rPr>
        <w:t>[AUTHOR INPUT NEEDED: exact installation year]</w:t>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Whether the conjecture's name and definition would survive contact with the field is itself part of the journey Chapters 4 and 5 report. Throughout this thesis, "syndrome" is used as a conceptual label for a proposed behavioural pattern, not as a clinical diagnosis, and any construct developed from the conjecture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was designed to test the FIDS conjecture prospectively and at close range. Thirty residents participated over eight weeks in an action-research deployment of a dual-purpose AI-assisted skiing game on the InBody pressure panel. The design attended closely to the relationship between recorded score change and subsequent return: if behaviour were to track the direction of recorded change, acceptance models would suffice; if not, something else would be at work. A methodological guard was set in advance: a single-session change may include measurement variation, familiarisation, practice effects or short-term motor adaptation, and is not interpreted as clinical benefit unless it exceeds a validated measurement-error or clinical-significance threshold. The session-level records, the F4 cluster and the behavioural outcomes are reported in Chapter 5.</w:t>
      </w:r>
    </w:p>
    <w:p w14:paraId="1D7A94AA" w14:textId="77777777" w:rsidR="0062437E" w:rsidRDefault="00000000">
      <w:pPr>
        <w:jc w:val="both"/>
      </w:pPr>
      <w:r>
        <w:t>The possibility that improvers and non-improvers might behave alike on the outcome of interest — that favourable task-related feedback might coexist with non-return — is precisely the case conventional acceptance models do not explicitly represent. Behavioural economics was therefore prepared as a candidate explanatory layer for whatever Stage 2 observed, while recognising that the deployment would not directly measure mental accounting, identity protection, endowment or stereotype threat. Whether the score-improvement/non-return paradox materialised, and what it came to anchor, is the subject of Chapter 5.</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designed as the programme's attribution experiment. If Stage 2's prospective test were to move H0, the movement would admit two readings: either gamification simply does not transfer to frail older adults, or the theory works and the coupling to the clinical technology breaks it. These make opposite predictions for the same game with the clinical attachment removed, and Stage 3 was designed to tell them apart — a comparison designed to separate them within the limits of a between-cohort design.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a newly named abandonment construct —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 argued in Chapter 8 from the Chapter 6 evidence: the theory transfers to older adults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the abandonment construct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Stage-2 prospective test of H0 and the Stage-3 decoupling outcomes (Chapters 5 and 6),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jc w:val="center"/>
      </w:pPr>
      <w:r>
        <w:t>Figure 1.1. The intellectual structure of the thesis: an industrial problem produces an observed behavioural phenomenon (the abandonment construct developed in Chapters 4 and 5);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r>
        <w:rPr>
          <w:highlight w:val="yellow"/>
        </w:rPr>
        <w:t xml:space="preserve"> [AUTHOR CHECK: if the Figure 1.1 graphic itself carries the construct's name, regenerate the graphic or approve the mention.]</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decoupling comparison), the hypothesis architecture (Table 3.1) and the confirmation-versus-discovery discipline. Part II executes it. Chapter 4 reports Stage 1, the retrospective field signal; Chapter 5 reports Stage 2, the prospective test that rejects H0; Chapter 6 reports Stage 3, the decoupling comparison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candidate explanation for the class of observations that the null hypothesis could not accommodate, should the stages produce them. The integration is developed into the thesis's central theoretical construct in Chapter 5. The individual operators are not directly measured by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abandonment-construct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this thesis investigates.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color w:val="000000"/>
        </w:rPr>
        <w:t>2.3.5 The Null Hypothesis Built From Stages One and Two</w:t>
      </w:r>
    </w:p>
    <w:p>
      <w:pPr>
        <w:pStyle w:val="Normal"/>
        <w:jc w:val="both"/>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 The expectation is a theory-informed design expectation stated for falsification - the cited literatures motivate it, but do not entail a numerical threshold, and its rejection is a finding about this deployment class, not a falsification of the acceptance and gamification literatures themselves.</w:t>
      </w:r>
    </w:p>
    <w:p>
      <w:pPr>
        <w:pStyle w:val="Normal"/>
        <w:jc w:val="both"/>
      </w:pPr>
      <w:r>
        <w:rPr>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jc w:val="both"/>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implementation quality becomes a less likely explanation - though design compliance alone cannot eliminate it, and it is examined as a named alternative in §8.5.7.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jc w:val="both"/>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szCs w:val="22"/>
          <w:lang w:val="en-US" w:eastAsia="en-US" w:bidi="ar-SA"/>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szCs w:val="22"/>
          <w:lang w:val="en-US" w:eastAsia="en-US" w:bidi="ar-SA"/>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contingency the null hypothesis makes testable: the case in which H0 fails.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the candidate account, and the testable prediction it generates. The subsections that follow develop each row. The operators are not directly measured by the present studies; the table is the structure that future measurement (§3.6) is designed to fill.</w:t>
      </w:r>
    </w:p>
    <w:p>
      <w:pPr>
        <w:pStyle w:val="FigureCaption"/>
        <w:jc w:val="center"/>
      </w:pPr>
      <w:r>
        <w:rPr>
          <w:sz w:val="22"/>
          <w:szCs w:val="22"/>
          <w:lang w:val="en-US" w:eastAsia="en-US" w:bidi="ar-SA"/>
          <w:rFonts w:ascii="Times New Roman" w:hAnsi="Times New Roman" w:eastAsia="Times New Roman" w:cs="Times New Roman"/>
          <w:i/>
        </w:rPr>
        <w:t>Table 2.1. From the null hypothesis's failure case to candidate mechanisms: the structure of the candidate behavioural account.</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trPr>
        <w:tc>
          <w:tcPr>
            <w:tcW w:type="dxa" w:w="2039"/>
          </w:tcPr>
          <w:p>
            <w:r>
              <w:t>Observation class H0 cannot accommodate</w:t>
            </w:r>
          </w:p>
        </w:tc>
        <w:tc>
          <w:tcPr>
            <w:tcW w:type="dxa" w:w="1850"/>
          </w:tcPr>
          <w:p>
            <w:pPr>
              <w:pStyle w:val="Normal"/>
            </w:pPr>
            <w:r>
              <w:rPr>
                <w:b/>
                <w:sz w:val="20"/>
                <w:szCs w:val="22"/>
                <w:lang w:val="en-US" w:eastAsia="en-US" w:bidi="ar-SA"/>
                <w:rFonts w:ascii="Times New Roman" w:hAnsi="Times New Roman" w:eastAsia="Times New Roman" w:cs="Times New Roman"/>
              </w:rPr>
              <w:t>Behavioural theory</w:t>
            </w:r>
          </w:p>
        </w:tc>
        <w:tc>
          <w:tcPr>
            <w:tcW w:type="dxa" w:w="2183"/>
          </w:tcPr>
          <w:p>
            <w:r>
              <w:t>Construct contributed to the account</w:t>
            </w:r>
          </w:p>
        </w:tc>
        <w:tc>
          <w:tcPr>
            <w:tcW w:type="dxa" w:w="2433"/>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039"/>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039"/>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433"/>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039"/>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433"/>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039"/>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83"/>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433"/>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83"/>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433"/>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color w:val="000000"/>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the candidate account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szCs w:val="22"/>
          <w:lang w:val="en-US" w:eastAsia="en-US" w:bidi="ar-SA"/>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this thesis names in Chapter 5.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color w:val="000000"/>
        </w:rPr>
        <w:t>2.6.2C Zero-Failure Design: A Research-Generated Concept That Inverts Octalysis D8</w:t>
      </w:r>
    </w:p>
    <w:p>
      <w:pPr>
        <w:pStyle w:val="Normal"/>
        <w:jc w:val="both"/>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jc w:val="both"/>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jc w:val="both"/>
      </w:pPr>
      <w:r>
        <w:rPr>
          <w:szCs w:val="26"/>
          <w:lang w:val="en-US" w:eastAsia="en-US" w:bidi="ar-SA"/>
          <w:rFonts w:ascii="Times New Roman" w:hAnsi="Times New Roman" w:eastAsia="Times New Roman" w:cs="Times New Roman"/>
          <w:sz w:val="24"/>
        </w:rPr>
        <w:t>The evidential status of the concept must be stated carefully. The Stage-2 build softens the in-game loss economy substantially — three lives, a neutral first hit, an obstacle-clearing second hit (Table 5.0) — yet retains a conventional terminal Game Over; whether softened in-game loss alone suffices is one of the questions Chapter 5 examines. The complete zero-failure repertoire — non-terminal recovery, mastery, narrative and reframe states — is specified at §5.3.10 and implemented in the successor short-run build used for the Stage-3 apparatus lineage. And because Stage 3 changes the participant-facing frame and the cohort together, the isolated causal effect of the zero-failure component is not measured within the main stages (Chapter 6). Zero-failure design is therefore treated as a candidate moderator within the behavioural account and a testable component of the adaptive-learning framework (Chapter 7), not a demonstrated cure; its isolated evaluation is pre-specified in the randomised study of §8.8.</w:t>
      </w:r>
    </w:p>
    <w:p>
      <w:pPr>
        <w:pStyle w:val="Heading3"/>
      </w:pPr>
      <w:r>
        <w:rPr>
          <w:szCs w:val="28"/>
          <w:lang w:val="en-US" w:eastAsia="en-US" w:bidi="ar-SA"/>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szCs w:val="28"/>
          <w:lang w:val="en-US" w:eastAsia="en-US" w:bidi="ar-SA"/>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4"/>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4"/>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the mechanism-level construct this thesis develops (Chapter 5) remains provisional, requiring independent validation.</w:t>
      </w:r>
    </w:p>
    <w:p>
      <w:pPr>
        <w:pStyle w:val="Heading3"/>
      </w:pPr>
      <w:bookmarkStart w:id="43" w:name="_Toc232024543"/>
      <w:r>
        <w:rPr>
          <w:szCs w:val="28"/>
          <w:lang w:val="en-US" w:eastAsia="en-US" w:bidi="ar-SA"/>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One adjacent literature deserves explicit comparison because it is the established home of post-adoption discontinuance. Expectation-confirmation continuance theory (Bhattacherjee, 2001) explains continued use through confirmed expectations and perceived usefulness: users abandon systems whose value disappoints. The phenomenon motivating this thesis sits awkwardly in that frame - the residents' stance recorded across the programme affirms the technology's value while refusing its use - and the candidate account developed in this chapter locates the driver not in disconfirmed usefulness but in what an accepted, useful verdict threatens. The continuance model therefore serves as a comparator the empirical chapters return to: evidence that value-affirming users abandon is evidence that continuance theory's expectation pathway is not the whole story, and any claimed increment of the present account must be argued against it, alongside self-efficacy and information-avoidance readings, rather than asserted.</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is assembled to explain precisely the class of observations H0 cannot; the construct itself is named and specified in Chapter 5.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4"/>
        </w:rPr>
        <w:t>No single stage carries the argument alone. The intellectual contribution is the chain itself: a null hypothesis honestly built from the best available models, an empirical rejection for which implementation quality is examined and argued to be an unlikely explanation (§8.5.7),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trPr>
        <w:tc>
          <w:tcPr>
            <w:tcW w:w="1737" w:type="dxa"/>
          </w:tcPr>
          <w:p>
            <w:r>
              <w:rPr>
                <w:b/>
              </w:rPr>
              <w:t>Literature stage</w:t>
            </w:r>
          </w:p>
        </w:tc>
        <w:tc>
          <w:tcPr>
            <w:tcW w:w="2905" w:type="dxa"/>
          </w:tcPr>
          <w:p>
            <w:r>
              <w:rPr>
                <w:b/>
              </w:rPr>
              <w:t>Core sources</w:t>
            </w:r>
          </w:p>
        </w:tc>
        <w:tc>
          <w:tcPr>
            <w:tcW w:w="3196" w:type="dxa"/>
          </w:tcPr>
          <w:p>
            <w:r>
              <w:rPr>
                <w:b/>
              </w:rPr>
              <w:t>What it establishes</w:t>
            </w:r>
          </w:p>
        </w:tc>
        <w:tc>
          <w:tcPr>
            <w:tcW w:w="2827" w:type="dxa"/>
          </w:tcPr>
          <w:p>
            <w:r>
              <w:rPr>
                <w:b/>
              </w:rPr>
              <w:t>The question it leaves open</w:t>
            </w:r>
          </w:p>
        </w:tc>
        <w:tc>
          <w:tcPr>
            <w:tcW w:w="2772" w:type="dxa"/>
          </w:tcPr>
          <w:p>
            <w:r>
              <w:rPr>
                <w:b/>
              </w:rPr>
              <w:t>Where the programme takes it up</w:t>
            </w:r>
          </w:p>
        </w:tc>
      </w:tr>
      <w:tr>
        <w:tc>
          <w:tcPr>
            <w:tcW w:w="1737" w:type="dxa"/>
          </w:tcPr>
          <w:p>
            <w:r>
              <w:t>One — Technology acceptance lineage</w:t>
            </w:r>
          </w:p>
        </w:tc>
        <w:tc>
          <w:tcPr>
            <w:tcW w:w="2905" w:type="dxa"/>
          </w:tcPr>
          <w:p>
            <w:r>
              <w:t>Davis (1989); TAM2/TAM3/UTAUT; Chen &amp; Chan (2014)</w:t>
            </w:r>
          </w:p>
        </w:tc>
        <w:tc>
          <w:tcPr>
            <w:tcW w:w="3196" w:type="dxa"/>
          </w:tcPr>
          <w:p>
            <w:r>
              <w:t>Fitting a technology to the user's acceptance criteria produces intention and use; STAM adds age-specific factors</w:t>
            </w:r>
          </w:p>
        </w:tc>
        <w:tc>
          <w:tcPr>
            <w:tcW w:w="2827" w:type="dxa"/>
          </w:tcPr>
          <w:p>
            <w:r>
              <w:t>Whether acceptance survives an adverse, identity-relevant first verdict is not modelled</w:t>
            </w:r>
          </w:p>
        </w:tc>
        <w:tc>
          <w:tcPr>
            <w:tcW w:w="2772" w:type="dxa"/>
          </w:tcPr>
          <w:p>
            <w:r>
              <w:t>Premise one of H0 (§2.3.5); Stage-1 survey constructs (Chapter 4)</w:t>
            </w:r>
          </w:p>
        </w:tc>
      </w:tr>
      <w:tr>
        <w:tc>
          <w:tcPr>
            <w:tcW w:w="1737" w:type="dxa"/>
          </w:tcPr>
          <w:p>
            <w:r>
              <w:t>Two — Gamification and Octalysis</w:t>
            </w:r>
          </w:p>
        </w:tc>
        <w:tc>
          <w:tcPr>
            <w:tcW w:w="2905" w:type="dxa"/>
          </w:tcPr>
          <w:p>
            <w:r>
              <w:t>Deterding et al. (2011); Chou (2015); An, Cheung &amp; Willoughby (2024); An, Cheung &amp; Lo (2025)</w:t>
            </w:r>
          </w:p>
        </w:tc>
        <w:tc>
          <w:tcPr>
            <w:tcW w:w="3196" w:type="dxa"/>
          </w:tcPr>
          <w:p>
            <w:r>
              <w:t>Game mechanics lift older adults' intention and engagement in non-clinical demonstrations</w:t>
            </w:r>
          </w:p>
        </w:tc>
        <w:tc>
          <w:tcPr>
            <w:tcW w:w="2827" w:type="dxa"/>
          </w:tcPr>
          <w:p>
            <w:r>
              <w:t>Whether the demonstration transfers when the game is attached to a clinical FRA verdict (§2.3.4)</w:t>
            </w:r>
          </w:p>
        </w:tc>
        <w:tc>
          <w:tcPr>
            <w:tcW w:w="2772" w:type="dxa"/>
          </w:tcPr>
          <w:p>
            <w:r>
              <w:t>Premise two of H0; the Stage-2 instrument specification (Chapter 5)</w:t>
            </w:r>
          </w:p>
        </w:tc>
      </w:tr>
      <w:tr>
        <w:tc>
          <w:tcPr>
            <w:tcW w:w="1737" w:type="dxa"/>
          </w:tcPr>
          <w:p>
            <w:r>
              <w:t>Three — Self-efficacy</w:t>
            </w:r>
          </w:p>
        </w:tc>
        <w:tc>
          <w:tcPr>
            <w:tcW w:w="2905" w:type="dxa"/>
          </w:tcPr>
          <w:p>
            <w:r>
              <w:t>Bandura (1977, 1997); Hawthorn (2007); Broady, Chan &amp; Caputi (2010); Tsai et al. (2020)</w:t>
            </w:r>
          </w:p>
        </w:tc>
        <w:tc>
          <w:tcPr>
            <w:tcW w:w="3196" w:type="dxa"/>
          </w:tcPr>
          <w:p>
            <w:r>
              <w:t>Difficulty lowers persistence; the fear-and-failure cycle in older computer users</w:t>
            </w:r>
          </w:p>
        </w:tc>
        <w:tc>
          <w:tcPr>
            <w:tcW w:w="2827" w:type="dxa"/>
          </w:tcPr>
          <w:p>
            <w:r>
              <w:t>Why dropout would become permanent even where recorded competence improves (§2.4.4)</w:t>
            </w:r>
          </w:p>
        </w:tc>
        <w:tc>
          <w:tcPr>
            <w:tcW w:w="2772" w:type="dxa"/>
          </w:tcPr>
          <w:p>
            <w:r>
              <w:t>First diagnostic layer for reading the engagement data (Chapters 5–6)</w:t>
            </w:r>
          </w:p>
        </w:tc>
      </w:tr>
      <w:tr>
        <w:tc>
          <w:tcPr>
            <w:tcW w:w="1737" w:type="dxa"/>
          </w:tcPr>
          <w:p>
            <w:r>
              <w:t>Four — Behavioural science</w:t>
            </w:r>
          </w:p>
        </w:tc>
        <w:tc>
          <w:tcPr>
            <w:tcW w:w="2905" w:type="dxa"/>
          </w:tcPr>
          <w:p>
            <w:r>
              <w:t>Kahneman &amp; Tversky (1979); Thaler (1985); Steele &amp; Aronson (1995)</w:t>
            </w:r>
          </w:p>
        </w:tc>
        <w:tc>
          <w:tcPr>
            <w:tcW w:w="3196" w:type="dxa"/>
          </w:tcPr>
          <w:p>
            <w:r>
              <w:t>Loss aversion, endowment on identity-level assets, mental accounting and stereotype threat as candidate operators</w:t>
            </w:r>
          </w:p>
        </w:tc>
        <w:tc>
          <w:tcPr>
            <w:tcW w:w="2827" w:type="dxa"/>
          </w:tcPr>
          <w:p>
            <w:r>
              <w:t>Whether these laboratory-derived operators organise field non-return in clinically framed play</w:t>
            </w:r>
          </w:p>
        </w:tc>
        <w:tc>
          <w:tcPr>
            <w:tcW w:w="2772" w:type="dxa"/>
          </w:tcPr>
          <w:p>
            <w:r>
              <w:t>The candidate account of failure-associated non-return (Table 2.1); developed further in Chapter 5</w:t>
            </w:r>
          </w:p>
        </w:tc>
      </w:tr>
      <w:tr>
        <w:tc>
          <w:tcPr>
            <w:tcW w:w="1737" w:type="dxa"/>
          </w:tcPr>
          <w:p>
            <w:r>
              <w:t>Five — Design responses</w:t>
            </w:r>
          </w:p>
        </w:tc>
        <w:tc>
          <w:tcPr>
            <w:tcW w:w="2905" w:type="dxa"/>
          </w:tcPr>
          <w:p>
            <w:r>
              <w:t>Kapur (2008); adaptive-learning lineage (§2.6.2A); SDT and goal-setting (§2.6.2B); zero-failure design (research-generated, §2.6.2C)</w:t>
            </w:r>
          </w:p>
        </w:tc>
        <w:tc>
          <w:tcPr>
            <w:tcW w:w="3196" w:type="dxa"/>
          </w:tcPr>
          <w:p>
            <w:r>
              <w:t>Failure's meaning is designable: decoupling, trajectory framing and adaptive challenge are available responses</w:t>
            </w:r>
          </w:p>
        </w:tc>
        <w:tc>
          <w:tcPr>
            <w:tcW w:w="2827" w:type="dxa"/>
          </w:tcPr>
          <w:p>
            <w:r>
              <w:t>Whether re-framing failure restores engagement in this population</w:t>
            </w:r>
          </w:p>
        </w:tc>
        <w:tc>
          <w:tcPr>
            <w:tcW w:w="2772" w:type="dxa"/>
          </w:tcPr>
          <w:p>
            <w:r>
              <w:t>Stage-3 decoupling test (Chapter 6); the adaptive-learning framework (Chapter 7); prospective test (§8.8)</w:t>
            </w:r>
          </w:p>
        </w:tc>
      </w:tr>
      <w:tr>
        <w:tc>
          <w:tcPr>
            <w:tcW w:w="1737" w:type="dxa"/>
          </w:tcPr>
          <w:p>
            <w:r>
              <w:t>Supporting evidence and adjacent frameworks</w:t>
            </w:r>
          </w:p>
        </w:tc>
        <w:tc>
          <w:tcPr>
            <w:tcW w:w="2905" w:type="dxa"/>
          </w:tcPr>
          <w:p>
            <w:r>
              <w:t>Koivisto &amp; Malik (2021); Greenhalgh et al. (2017, NASSS); Park et al. (2019); Kim et al. (2018); Shannon (1948)</w:t>
            </w:r>
          </w:p>
        </w:tc>
        <w:tc>
          <w:tcPr>
            <w:tcW w:w="3196" w:type="dxa"/>
          </w:tcPr>
          <w:p>
            <w:r>
              <w:t>An evidence base for gamification with older adults; documented abandonment; a cross-cultural anchor; an information-theoretic bridge lens</w:t>
            </w:r>
          </w:p>
        </w:tc>
        <w:tc>
          <w:tcPr>
            <w:tcW w:w="2827" w:type="dxa"/>
          </w:tcPr>
          <w:p>
            <w:r>
              <w:t>A mechanism-level account of abandonment is absent from all of them</w:t>
            </w:r>
          </w:p>
        </w:tc>
        <w:tc>
          <w:tcPr>
            <w:tcW w:w="2772" w:type="dxa"/>
          </w:tcPr>
          <w:p>
            <w:r>
              <w:t>The gap this thesis addresses; discussion lenses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trPr>
        <w:tc>
          <w:tcPr>
            <w:tcW w:w="1881" w:type="dxa"/>
          </w:tcPr>
          <w:p>
            <w:r>
              <w:rPr>
                <w:b/>
              </w:rPr>
              <w:t>Research activity</w:t>
            </w:r>
          </w:p>
        </w:tc>
        <w:tc>
          <w:tcPr>
            <w:tcW w:w="2467" w:type="dxa"/>
          </w:tcPr>
          <w:p>
            <w:r>
              <w:rPr>
                <w:b/>
              </w:rPr>
              <w:t>Question carried from the literature</w:t>
            </w:r>
          </w:p>
        </w:tc>
        <w:tc>
          <w:tcPr>
            <w:tcW w:w="2199" w:type="dxa"/>
          </w:tcPr>
          <w:p>
            <w:r>
              <w:rPr>
                <w:b/>
              </w:rPr>
              <w:t>What is instrumented</w:t>
            </w:r>
          </w:p>
        </w:tc>
        <w:tc>
          <w:tcPr>
            <w:tcW w:w="1958" w:type="dxa"/>
          </w:tcPr>
          <w:p>
            <w:r>
              <w:rPr>
                <w:b/>
              </w:rPr>
              <w:t>Literature stage it tests</w:t>
            </w:r>
          </w:p>
        </w:tc>
      </w:tr>
      <w:tr>
        <w:tc>
          <w:tcPr>
            <w:tcW w:w="1881" w:type="dxa"/>
          </w:tcPr>
          <w:p>
            <w:r>
              <w:t>Stage 1 — retrospective survey (Chapter 4)</w:t>
            </w:r>
          </w:p>
        </w:tc>
        <w:tc>
          <w:tcPr>
            <w:tcW w:w="2467" w:type="dxa"/>
          </w:tcPr>
          <w:p>
            <w:r>
              <w:t>Does acceptance-compliant FRA use persist after adverse first experiences?</w:t>
            </w:r>
          </w:p>
        </w:tc>
        <w:tc>
          <w:tcPr>
            <w:tcW w:w="2199" w:type="dxa"/>
          </w:tcPr>
          <w:p>
            <w:r>
              <w:t>Prior use, adverse-experience recall, return behaviour; TAM/STAM acceptance items</w:t>
            </w:r>
          </w:p>
        </w:tc>
        <w:tc>
          <w:tcPr>
            <w:tcW w:w="1958" w:type="dxa"/>
          </w:tcPr>
          <w:p>
            <w:r>
              <w:t>Stages one–two (H0)</w:t>
            </w:r>
          </w:p>
        </w:tc>
      </w:tr>
      <w:tr>
        <w:tc>
          <w:tcPr>
            <w:tcW w:w="1881" w:type="dxa"/>
          </w:tcPr>
          <w:p>
            <w:r>
              <w:t>Stage 2 — gamified FRA deployment (Chapter 5)</w:t>
            </w:r>
          </w:p>
        </w:tc>
        <w:tc>
          <w:tcPr>
            <w:tcW w:w="2467" w:type="dxa"/>
          </w:tcPr>
          <w:p>
            <w:r>
              <w:t>Does an acceptance-screened, Octalysis-compliant gamified FRA sustain engagement at the assessment site?</w:t>
            </w:r>
          </w:p>
        </w:tc>
        <w:tc>
          <w:tcPr>
            <w:tcW w:w="2199" w:type="dxa"/>
          </w:tcPr>
          <w:p>
            <w:r>
              <w:t>Session telemetry, recorded performance, satisfaction and self-report</w:t>
            </w:r>
          </w:p>
        </w:tc>
        <w:tc>
          <w:tcPr>
            <w:tcW w:w="1958" w:type="dxa"/>
          </w:tcPr>
          <w:p>
            <w:r>
              <w:t>Stages one–two (H0), with stage three as the first diagnostic layer</w:t>
            </w:r>
          </w:p>
        </w:tc>
      </w:tr>
      <w:tr>
        <w:tc>
          <w:tcPr>
            <w:tcW w:w="1881" w:type="dxa"/>
          </w:tcPr>
          <w:p>
            <w:r>
              <w:t>Stage 3 — participant-facing decoupling (Chapter 6)</w:t>
            </w:r>
          </w:p>
        </w:tc>
        <w:tc>
          <w:tcPr>
            <w:tcW w:w="2467" w:type="dxa"/>
          </w:tcPr>
          <w:p>
            <w:r>
              <w:t>Is non-return dispositional, or coupled to the clinical frame that gives failure its meaning?</w:t>
            </w:r>
          </w:p>
        </w:tc>
        <w:tc>
          <w:tcPr>
            <w:tcW w:w="2199" w:type="dxa"/>
          </w:tcPr>
          <w:p>
            <w:r>
              <w:t>Post-failure return, endorsement and stated intention in a separate cohort</w:t>
            </w:r>
          </w:p>
        </w:tc>
        <w:tc>
          <w:tcPr>
            <w:tcW w:w="1958" w:type="dxa"/>
          </w:tcPr>
          <w:p>
            <w:r>
              <w:t>Stage four's candidate account against its dispositional rival; stage five's decoupling response</w:t>
            </w:r>
          </w:p>
        </w:tc>
      </w:tr>
      <w:tr>
        <w:tc>
          <w:tcPr>
            <w:tcW w:w="1881" w:type="dxa"/>
          </w:tcPr>
          <w:p>
            <w:r>
              <w:t>Adaptive-learning framework and prospective test (Chapter 7; §8.8)</w:t>
            </w:r>
          </w:p>
        </w:tc>
        <w:tc>
          <w:tcPr>
            <w:tcW w:w="2467" w:type="dxa"/>
          </w:tcPr>
          <w:p>
            <w:r>
              <w:t>Can a learning-trajectory frame change what a single adverse event means?</w:t>
            </w:r>
          </w:p>
        </w:tc>
        <w:tc>
          <w:tcPr>
            <w:tcW w:w="2199" w:type="dxa"/>
          </w:tcPr>
          <w:p>
            <w:r>
              <w:t>Framework specification; a pre-registered field experiment</w:t>
            </w:r>
          </w:p>
        </w:tc>
        <w:tc>
          <w:tcPr>
            <w:tcW w:w="1958" w:type="dxa"/>
          </w:tcPr>
          <w:p>
            <w:r>
              <w:t>Stage five's design propositions</w:t>
            </w:r>
          </w:p>
        </w:tc>
      </w:tr>
    </w:tbl>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a between-cohort comparison of the same mechanics outside the clinical frame,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after the empirical work as a distinct data-collection exercise - not literature review - to test the programme's behavioural interpretation and its design framework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is interpretation and practice validation of the findings and a confirmatory-design review of the Chapter 7 framework; it is not additional empirical evidence and does not bear on the hypothesis tests.</w:t>
      </w:r>
    </w:p>
    <w:p>
      <w:pPr>
        <w:pStyle w:val="FigureCaption"/>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trPr>
        <w:tc>
          <w:tcPr>
            <w:tcW w:type="dxa" w:w="2460"/>
          </w:tcPr>
          <w:p>
            <w:pPr>
              <w:pStyle w:val="Normal"/>
            </w:pPr>
            <w:r>
              <w:rPr>
                <w:b/>
                <w:sz w:val="24"/>
                <w:szCs w:val="28"/>
                <w:lang w:val="en-US" w:eastAsia="en-US" w:bidi="ar-SA"/>
                <w:rFonts w:ascii="Times New Roman" w:hAnsi="Times New Roman" w:eastAsia="Times New Roman" w:cs="Times New Roman"/>
              </w:rPr>
              <w:t>Claim</w:t>
            </w:r>
          </w:p>
        </w:tc>
        <w:tc>
          <w:tcPr>
            <w:tcW w:type="dxa" w:w="1681"/>
          </w:tcPr>
          <w:p>
            <w:pPr>
              <w:pStyle w:val="Normal"/>
            </w:pPr>
            <w:r>
              <w:rPr>
                <w:b/>
                <w:sz w:val="24"/>
                <w:szCs w:val="28"/>
                <w:lang w:val="en-US" w:eastAsia="en-US" w:bidi="ar-SA"/>
                <w:rFonts w:ascii="Times New Roman" w:hAnsi="Times New Roman" w:eastAsia="Times New Roman" w:cs="Times New Roman"/>
              </w:rPr>
              <w:t>Origin</w:t>
            </w:r>
          </w:p>
        </w:tc>
        <w:tc>
          <w:tcPr>
            <w:tcW w:type="dxa" w:w="978"/>
          </w:tcPr>
          <w:p>
            <w:pPr>
              <w:pStyle w:val="Normal"/>
            </w:pPr>
            <w:r>
              <w:rPr>
                <w:b/>
                <w:sz w:val="24"/>
                <w:szCs w:val="28"/>
                <w:lang w:val="en-US" w:eastAsia="en-US" w:bidi="ar-SA"/>
                <w:rFonts w:ascii="Times New Roman" w:hAnsi="Times New Roman" w:eastAsia="Times New Roman" w:cs="Times New Roman"/>
              </w:rPr>
              <w:t>Stated</w:t>
            </w:r>
          </w:p>
        </w:tc>
        <w:tc>
          <w:tcPr>
            <w:tcW w:type="dxa" w:w="1387"/>
          </w:tcPr>
          <w:p>
            <w:pPr>
              <w:pStyle w:val="Normal"/>
            </w:pPr>
            <w:r>
              <w:rPr>
                <w:b/>
                <w:sz w:val="24"/>
                <w:szCs w:val="28"/>
                <w:lang w:val="en-US" w:eastAsia="en-US" w:bidi="ar-SA"/>
                <w:rFonts w:ascii="Times New Roman" w:hAnsi="Times New Roman" w:eastAsia="Times New Roman" w:cs="Times New Roman"/>
              </w:rPr>
              <w:t>Tested / examined</w:t>
            </w:r>
          </w:p>
        </w:tc>
        <w:tc>
          <w:tcPr>
            <w:tcW w:type="dxa" w:w="1999"/>
          </w:tcPr>
          <w:p>
            <w:pPr>
              <w:pStyle w:val="Normal"/>
            </w:pPr>
            <w:r>
              <w:rPr>
                <w:b/>
                <w:sz w:val="24"/>
                <w:szCs w:val="28"/>
                <w:lang w:val="en-US" w:eastAsia="en-US" w:bidi="ar-SA"/>
                <w:rFonts w:ascii="Times New Roman" w:hAnsi="Times New Roman" w:eastAsia="Times New Roman" w:cs="Times New Roman"/>
              </w:rPr>
              <w:t>Status in this thesis</w:t>
            </w:r>
          </w:p>
        </w:tc>
      </w:tr>
      <w:tr>
        <w:tc>
          <w:tcPr>
            <w:tcW w:type="dxa" w:w="2460"/>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68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978"/>
          </w:tcPr>
          <w:p>
            <w:pPr>
              <w:pStyle w:val="Normal"/>
            </w:pPr>
            <w:r>
              <w:rPr>
                <w:sz w:val="24"/>
                <w:szCs w:val="22"/>
                <w:lang w:val="en-US" w:eastAsia="en-US" w:bidi="ar-SA"/>
                <w:rFonts w:ascii="Times New Roman" w:hAnsi="Times New Roman" w:eastAsia="Times New Roman" w:cs="Times New Roman"/>
                <w:b/>
              </w:rPr>
              <w:t>§2.3.5; §5.1</w:t>
            </w:r>
          </w:p>
        </w:tc>
        <w:tc>
          <w:tcPr>
            <w:tcW w:type="dxa" w:w="1387"/>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999"/>
          </w:tcPr>
          <w:p>
            <w:pPr>
              <w:pStyle w:val="Normal"/>
            </w:pPr>
            <w:r>
              <w:rPr>
                <w:sz w:val="24"/>
                <w:szCs w:val="22"/>
                <w:lang w:val="en-US" w:eastAsia="en-US" w:bidi="ar-SA"/>
                <w:rFonts w:ascii="Times New Roman" w:hAnsi="Times New Roman" w:eastAsia="Times New Roman" w:cs="Times New Roman"/>
                <w:b/>
              </w:rPr>
              <w:t>Rejected</w:t>
            </w:r>
          </w:p>
        </w:tc>
      </w:tr>
      <w:tr>
        <w:tc>
          <w:tcPr>
            <w:tcW w:type="dxa" w:w="2460"/>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681"/>
          </w:tcPr>
          <w:p>
            <w:pPr>
              <w:pStyle w:val="Normal"/>
            </w:pPr>
            <w:r>
              <w:rPr>
                <w:sz w:val="24"/>
                <w:szCs w:val="22"/>
                <w:lang w:val="en-US" w:eastAsia="en-US" w:bidi="ar-SA"/>
                <w:rFonts w:ascii="Times New Roman" w:hAnsi="Times New Roman" w:eastAsia="Times New Roman" w:cs="Times New Roman"/>
                <w:b/>
              </w:rPr>
              <w:t>Stage-1 observations</w:t>
            </w:r>
          </w:p>
        </w:tc>
        <w:tc>
          <w:tcPr>
            <w:tcW w:type="dxa" w:w="978"/>
          </w:tcPr>
          <w:p>
            <w:pPr>
              <w:pStyle w:val="Normal"/>
            </w:pPr>
            <w:r>
              <w:rPr>
                <w:sz w:val="24"/>
                <w:szCs w:val="22"/>
                <w:lang w:val="en-US" w:eastAsia="en-US" w:bidi="ar-SA"/>
                <w:rFonts w:ascii="Times New Roman" w:hAnsi="Times New Roman" w:eastAsia="Times New Roman" w:cs="Times New Roman"/>
                <w:b/>
              </w:rPr>
              <w:t>§5.1</w:t>
            </w:r>
          </w:p>
        </w:tc>
        <w:tc>
          <w:tcPr>
            <w:tcW w:type="dxa" w:w="1387"/>
          </w:tcPr>
          <w:p>
            <w:pPr>
              <w:pStyle w:val="Normal"/>
            </w:pPr>
            <w:r>
              <w:rPr>
                <w:sz w:val="24"/>
                <w:szCs w:val="22"/>
                <w:lang w:val="en-US" w:eastAsia="en-US" w:bidi="ar-SA"/>
                <w:rFonts w:ascii="Times New Roman" w:hAnsi="Times New Roman" w:eastAsia="Times New Roman" w:cs="Times New Roman"/>
                <w:b/>
              </w:rPr>
              <w:t>Stage 2 (Ch 5)</w:t>
            </w:r>
          </w:p>
        </w:tc>
        <w:tc>
          <w:tcPr>
            <w:tcW w:type="dxa" w:w="1999"/>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2460"/>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68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978"/>
          </w:tcPr>
          <w:p>
            <w:pPr>
              <w:pStyle w:val="Normal"/>
            </w:pPr>
            <w:r>
              <w:rPr>
                <w:sz w:val="24"/>
                <w:szCs w:val="22"/>
                <w:lang w:val="en-US" w:eastAsia="en-US" w:bidi="ar-SA"/>
                <w:rFonts w:ascii="Times New Roman" w:hAnsi="Times New Roman" w:eastAsia="Times New Roman" w:cs="Times New Roman"/>
                <w:b/>
              </w:rPr>
              <w:t>§5.1; §6.2</w:t>
            </w:r>
          </w:p>
        </w:tc>
        <w:tc>
          <w:tcPr>
            <w:tcW w:type="dxa" w:w="1387"/>
          </w:tcPr>
          <w:p>
            <w:pPr>
              <w:pStyle w:val="Normal"/>
            </w:pPr>
            <w:r>
              <w:rPr>
                <w:sz w:val="24"/>
                <w:szCs w:val="22"/>
                <w:lang w:val="en-US" w:eastAsia="en-US" w:bidi="ar-SA"/>
                <w:rFonts w:ascii="Times New Roman" w:hAnsi="Times New Roman" w:eastAsia="Times New Roman" w:cs="Times New Roman"/>
                <w:b/>
              </w:rPr>
              <w:t>Stage 3 (Ch 6)</w:t>
            </w:r>
          </w:p>
        </w:tc>
        <w:tc>
          <w:tcPr>
            <w:tcW w:type="dxa" w:w="1999"/>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2460"/>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68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978"/>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387"/>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999"/>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2460"/>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68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978"/>
          </w:tcPr>
          <w:p>
            <w:pPr>
              <w:pStyle w:val="Normal"/>
            </w:pPr>
            <w:r>
              <w:rPr>
                <w:sz w:val="24"/>
                <w:szCs w:val="22"/>
                <w:lang w:val="en-US" w:eastAsia="en-US" w:bidi="ar-SA"/>
                <w:rFonts w:ascii="Times New Roman" w:hAnsi="Times New Roman" w:eastAsia="Times New Roman" w:cs="Times New Roman"/>
                <w:b/>
              </w:rPr>
              <w:t>§3.2; §6.2</w:t>
            </w:r>
          </w:p>
        </w:tc>
        <w:tc>
          <w:tcPr>
            <w:tcW w:type="dxa" w:w="1387"/>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999"/>
          </w:tcPr>
          <w:p>
            <w:pPr>
              <w:pStyle w:val="Normal"/>
            </w:pPr>
            <w:r>
              <w:rPr>
                <w:szCs w:val="26"/>
                <w:lang w:val="en-US" w:eastAsia="en-US" w:bidi="ar-SA"/>
                <w:rFonts w:ascii="Times New Roman" w:hAnsi="Times New Roman" w:eastAsia="Times New Roman" w:cs="Times New Roman"/>
                <w:sz w:val="24"/>
                <w:b/>
              </w:rPr>
              <w:t>Nullified: initial dropout 0.0% (25-44) vs 39.0% (65-80), Fisher's exact p &lt; 0.0001; non-return converges low in all bands</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decoupling comparison that bears on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decoupling comparison; the stages converge on the adaptive-learning formalisation of Chapter 7 and the confirmatory programme of §8.8. Each stage produces an empirical output and a theoretical revision.</w:t>
      </w:r>
    </w:p>
    <w:tbl>
      <w:tblPr>
        <w:tblStyle w:val="TableGrid"/>
        <w:tblW w:type="dxa" w:w="8505"/>
        <w:tblLayout w:type="fixed"/>
        <w:tblLook w:firstColumn="1" w:firstRow="1" w:lastColumn="0" w:lastRow="0" w:noHBand="0" w:noVBand="1" w:val="04A0"/>
      </w:tblPr>
      <w:tblGrid>
        <w:gridCol w:w="3927"/>
        <w:gridCol w:w="2584"/>
        <w:gridCol w:w="1994"/>
      </w:tblGrid>
      <w:tr>
        <w:trPr>
          <w:tblHeader/>
        </w:trPr>
        <w:tc>
          <w:tcPr>
            <w:tcW w:type="dxa" w:w="3927"/>
          </w:tcPr>
          <w:p>
            <w:r>
              <w:rPr>
                <w:b/>
              </w:rPr>
              <w:t>Activity</w:t>
            </w:r>
          </w:p>
        </w:tc>
        <w:tc>
          <w:tcPr>
            <w:tcW w:type="dxa" w:w="2584"/>
          </w:tcPr>
          <w:p>
            <w:r>
              <w:rPr>
                <w:b/>
              </w:rPr>
              <w:t>Period</w:t>
            </w:r>
          </w:p>
        </w:tc>
        <w:tc>
          <w:tcPr>
            <w:tcW w:type="dxa" w:w="1994"/>
          </w:tcPr>
          <w:p>
            <w:r>
              <w:rPr>
                <w:b/>
              </w:rPr>
              <w:t>Reported in</w:t>
            </w:r>
          </w:p>
        </w:tc>
      </w:tr>
      <w:tr>
        <w:tc>
          <w:tcPr>
            <w:tcW w:type="dxa" w:w="3927"/>
          </w:tcPr>
          <w:p>
            <w:r>
              <w:t>Site observation and the FIDS conjecture</w:t>
            </w:r>
          </w:p>
        </w:tc>
        <w:tc>
          <w:tcPr>
            <w:tcW w:type="dxa" w:w="2584"/>
          </w:tcPr>
          <w:p>
            <w:r>
              <w:t>2023</w:t>
            </w:r>
          </w:p>
        </w:tc>
        <w:tc>
          <w:tcPr>
            <w:tcW w:type="dxa" w:w="1994"/>
          </w:tcPr>
          <w:p>
            <w:r>
              <w:t>Chapter 1</w:t>
            </w:r>
          </w:p>
        </w:tc>
      </w:tr>
      <w:tr>
        <w:tc>
          <w:tcPr>
            <w:tcW w:type="dxa" w:w="3927"/>
          </w:tcPr>
          <w:p>
            <w:r>
              <w:t>Stage 1 — retrospective survey (N=200 of 280)</w:t>
            </w:r>
          </w:p>
        </w:tc>
        <w:tc>
          <w:tcPr>
            <w:tcW w:type="dxa" w:w="2584"/>
          </w:tcPr>
          <w:p>
            <w:r>
              <w:t>July–August 2024</w:t>
            </w:r>
          </w:p>
        </w:tc>
        <w:tc>
          <w:tcPr>
            <w:tcW w:type="dxa" w:w="1994"/>
          </w:tcPr>
          <w:p>
            <w:r>
              <w:t>Chapter 4</w:t>
            </w:r>
          </w:p>
        </w:tc>
      </w:tr>
      <w:tr>
        <w:tc>
          <w:tcPr>
            <w:tcW w:type="dxa" w:w="3927"/>
          </w:tcPr>
          <w:p>
            <w:r>
              <w:t>Game design and platform validation</w:t>
            </w:r>
          </w:p>
        </w:tc>
        <w:tc>
          <w:tcPr>
            <w:tcW w:type="dxa" w:w="2584"/>
          </w:tcPr>
          <w:p>
            <w:r/>
            <w:r>
              <w:t>2023–2024</w:t>
            </w:r>
          </w:p>
        </w:tc>
        <w:tc>
          <w:tcPr>
            <w:tcW w:type="dxa" w:w="1994"/>
          </w:tcPr>
          <w:p>
            <w:r>
              <w:t>Chapter 5, Appendix G.8</w:t>
            </w:r>
          </w:p>
        </w:tc>
      </w:tr>
      <w:tr>
        <w:tc>
          <w:tcPr>
            <w:tcW w:type="dxa" w:w="3927"/>
          </w:tcPr>
          <w:p>
            <w:r>
              <w:t>Stage 2 — eight-week facility deployment (N=30)</w:t>
            </w:r>
          </w:p>
        </w:tc>
        <w:tc>
          <w:tcPr>
            <w:tcW w:type="dxa" w:w="2584"/>
          </w:tcPr>
          <w:p>
            <w:r>
              <w:rPr>
                <w:highlight w:val="yellow"/>
              </w:rPr>
              <w:t>[AUTHOR INPUT NEEDED: exact dates]</w:t>
            </w:r>
          </w:p>
        </w:tc>
        <w:tc>
          <w:tcPr>
            <w:tcW w:type="dxa" w:w="1994"/>
          </w:tcPr>
          <w:p>
            <w:r>
              <w:t>Chapter 5</w:t>
            </w:r>
          </w:p>
        </w:tc>
      </w:tr>
      <w:tr>
        <w:tc>
          <w:tcPr>
            <w:tcW w:type="dxa" w:w="3927"/>
          </w:tcPr>
          <w:p>
            <w:r>
              <w:t>Stage 3 — remote decoupled deployment (register N=120)</w:t>
            </w:r>
          </w:p>
        </w:tc>
        <w:tc>
          <w:tcPr>
            <w:tcW w:type="dxa" w:w="2584"/>
          </w:tcPr>
          <w:p>
            <w:r>
              <w:t>March–April 2026</w:t>
            </w:r>
          </w:p>
        </w:tc>
        <w:tc>
          <w:tcPr>
            <w:tcW w:type="dxa" w:w="1994"/>
          </w:tcPr>
          <w:p>
            <w:r>
              <w:t>Chapter 6</w:t>
            </w:r>
          </w:p>
        </w:tc>
      </w:tr>
      <w:tr>
        <w:tc>
          <w:tcPr>
            <w:tcW w:type="dxa" w:w="3927"/>
          </w:tcPr>
          <w:p>
            <w:r>
              <w:t>Expert consultation panel (four consultations + follow-ups)</w:t>
            </w:r>
          </w:p>
        </w:tc>
        <w:tc>
          <w:tcPr>
            <w:tcW w:type="dxa" w:w="2584"/>
          </w:tcPr>
          <w:p>
            <w:r>
              <w:t>March–September 2026</w:t>
            </w:r>
          </w:p>
        </w:tc>
        <w:tc>
          <w:tcPr>
            <w:tcW w:type="dxa" w:w="1994"/>
          </w:tcPr>
          <w:p>
            <w:r>
              <w:t>§6.12, Appendix H</w:t>
            </w:r>
          </w:p>
        </w:tc>
      </w:tr>
      <w:tr>
        <w:tc>
          <w:tcPr>
            <w:tcW w:type="dxa" w:w="3927"/>
          </w:tcPr>
          <w:p>
            <w:r>
              <w:t>Ethics approval HSEARS20260805008</w:t>
            </w:r>
          </w:p>
        </w:tc>
        <w:tc>
          <w:tcPr>
            <w:tcW w:type="dxa" w:w="2584"/>
          </w:tcPr>
          <w:p>
            <w:r>
              <w:t>August 2026</w:t>
            </w:r>
          </w:p>
        </w:tc>
        <w:tc>
          <w:tcPr>
            <w:tcW w:type="dxa" w:w="1994"/>
          </w:tcPr>
          <w:p>
            <w:r>
              <w:t>§3.4</w:t>
            </w:r>
          </w:p>
        </w:tc>
      </w:tr>
      <w:tr>
        <w:tc>
          <w:tcPr>
            <w:tcW w:type="dxa" w:w="3927"/>
          </w:tcPr>
          <w:p>
            <w:r>
              <w:t>Stage 3B — pre-registered 2x2 field experiment</w:t>
            </w:r>
          </w:p>
        </w:tc>
        <w:tc>
          <w:tcPr>
            <w:tcW w:type="dxa" w:w="2584"/>
          </w:tcPr>
          <w:p>
            <w:r>
              <w:rPr>
                <w:highlight w:val="yellow"/>
              </w:rPr>
              <w:t>August–October 2026 [AUTHOR INPUT NEEDED: window dates]</w:t>
            </w:r>
          </w:p>
        </w:tc>
        <w:tc>
          <w:tcPr>
            <w:tcW w:type="dxa" w:w="1994"/>
          </w:tcPr>
          <w:p>
            <w:r>
              <w:t>§8.8</w:t>
            </w:r>
          </w:p>
        </w:tc>
      </w:tr>
      <w:tr>
        <w:tc>
          <w:tcPr>
            <w:tcW w:type="dxa" w:w="3927"/>
          </w:tcPr>
          <w:p>
            <w:r>
              <w:t>Programme close and thesis completion</w:t>
            </w:r>
          </w:p>
        </w:tc>
        <w:tc>
          <w:tcPr>
            <w:tcW w:type="dxa" w:w="2584"/>
          </w:tcPr>
          <w:p>
            <w:r>
              <w:t>October 2026</w:t>
            </w:r>
          </w:p>
        </w:tc>
        <w:tc>
          <w:tcPr>
            <w:tcW w:type="dxa" w:w="1994"/>
          </w:tcPr>
          <w:p>
            <w:r>
              <w:t>Chapter 9</w:t>
            </w:r>
          </w:p>
        </w:tc>
      </w:tr>
    </w:tbl>
    <w:p>
      <w:pPr>
        <w:pStyle w:val="FigureCaption"/>
        <w:jc w:val="center"/>
      </w:pPr>
      <w:r>
        <w:t>Table 3.1A. Programme timeline: evidence activities in calendar order, July 2024 – October 2026, with the chapter that reports each.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highlight w:val="yellow"/>
        </w:rPr>
        <w:t xml:space="preserve"> [AUTHOR INPUT NEEDED: exact approval date from the memo]</w:t>
      </w:r>
    </w:p>
    <w:p>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jc w:val="both"/>
      </w:pPr>
      <w:r>
        <w:rPr>
          <w:i w:val="0"/>
          <w:szCs w:val="26"/>
          <w:lang w:val="en-US" w:eastAsia="en-US" w:bidi="ar-SA"/>
          <w:rFonts w:ascii="Times New Roman" w:hAnsi="Times New Roman" w:eastAsia="Times New Roman" w:cs="Times New Roman"/>
          <w:sz w:val="24"/>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color w:val="00000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trPr>
        <w:tc>
          <w:tcPr>
            <w:tcW w:w="6674" w:type="dxa"/>
          </w:tcPr>
          <w:p>
            <w:pPr>
              <w:pStyle w:val="Normal"/>
            </w:pPr>
            <w:r>
              <w:rPr>
                <w:b/>
                <w:sz w:val="24"/>
                <w:szCs w:val="22"/>
                <w:lang w:val="en-US" w:eastAsia="en-US" w:bidi="ar-SA"/>
                <w:rFonts w:ascii="Times New Roman" w:hAnsi="Times New Roman" w:eastAsia="Times New Roman" w:cs="Times New Roman"/>
              </w:rPr>
              <w:t>Survey item</w:t>
            </w:r>
          </w:p>
        </w:tc>
        <w:tc>
          <w:tcPr>
            <w:tcW w:w="1831" w:type="dxa"/>
          </w:tcPr>
          <w:p>
            <w:pPr>
              <w:pStyle w:val="Normal"/>
            </w:pPr>
            <w:r>
              <w:rPr>
                <w:b/>
                <w:sz w:val="24"/>
                <w:szCs w:val="22"/>
                <w:lang w:val="en-US" w:eastAsia="en-US" w:bidi="ar-SA"/>
                <w:rFonts w:ascii="Times New Roman" w:hAnsi="Times New Roman" w:eastAsia="Times New Roman" w:cs="Times New Roman"/>
              </w:rPr>
              <w:t>Result</w:t>
            </w:r>
          </w:p>
        </w:tc>
      </w:tr>
      <w:tr>
        <w:trPr>
          <w:jc w:val="center"/>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trPr>
        <w:tc>
          <w:tcPr>
            <w:tcW w:w="2587" w:type="dxa"/>
          </w:tcPr>
          <w:p>
            <w:pPr>
              <w:pStyle w:val="Normal"/>
            </w:pPr>
            <w:r>
              <w:rPr>
                <w:b/>
                <w:sz w:val="24"/>
                <w:szCs w:val="22"/>
                <w:lang w:val="en-US" w:eastAsia="en-US" w:bidi="ar-SA"/>
                <w:rFonts w:ascii="Times New Roman" w:hAnsi="Times New Roman" w:eastAsia="Times New Roman" w:cs="Times New Roman"/>
              </w:rPr>
              <w:t>TAM assumption</w:t>
            </w:r>
          </w:p>
        </w:tc>
        <w:tc>
          <w:tcPr>
            <w:tcW w:w="3142" w:type="dxa"/>
          </w:tcPr>
          <w:p>
            <w:pPr>
              <w:pStyle w:val="Normal"/>
            </w:pPr>
            <w:r>
              <w:rPr>
                <w:b/>
                <w:sz w:val="24"/>
                <w:szCs w:val="22"/>
                <w:lang w:val="en-US" w:eastAsia="en-US" w:bidi="ar-SA"/>
                <w:rFonts w:ascii="Times New Roman" w:hAnsi="Times New Roman" w:eastAsia="Times New Roman" w:cs="Times New Roman"/>
              </w:rPr>
              <w:t>Reality for elderly FRA users</w:t>
            </w:r>
          </w:p>
        </w:tc>
        <w:tc>
          <w:tcPr>
            <w:tcW w:w="2776" w:type="dxa"/>
          </w:tcPr>
          <w:p>
            <w:pPr>
              <w:pStyle w:val="Normal"/>
            </w:pPr>
            <w:r>
              <w:rPr>
                <w:b/>
                <w:sz w:val="24"/>
                <w:szCs w:val="22"/>
                <w:lang w:val="en-US" w:eastAsia="en-US" w:bidi="ar-SA"/>
                <w:rFonts w:ascii="Times New Roman" w:hAnsi="Times New Roman" w:eastAsia="Times New Roman" w:cs="Times New Roman"/>
              </w:rPr>
              <w:t>Consequence</w:t>
            </w:r>
          </w:p>
        </w:tc>
      </w:tr>
      <w:tr>
        <w:trPr>
          <w:jc w:val="center"/>
        </w:trPr>
        <w:tc>
          <w:tcPr>
            <w:tcW w:w="2587" w:type="dxa"/>
          </w:tcPr>
          <w:p>
            <w:pPr>
              <w:pStyle w:val="Normal"/>
            </w:pPr>
            <w:r>
              <w:rPr>
                <w:sz w:val="24"/>
                <w:szCs w:val="22"/>
                <w:lang w:val="en-US" w:eastAsia="en-US" w:bidi="ar-SA"/>
                <w:rFonts w:ascii="Times New Roman" w:hAnsi="Times New Roman" w:eastAsia="Times New Roman" w:cs="Times New Roman"/>
              </w:rPr>
              <w:t>Usefulness tied to job performance</w:t>
            </w:r>
          </w:p>
        </w:tc>
        <w:tc>
          <w:tcPr>
            <w:tcW w:w="3142" w:type="dxa"/>
          </w:tcPr>
          <w:p>
            <w:pPr>
              <w:pStyle w:val="Normal"/>
            </w:pPr>
            <w:r>
              <w:rPr>
                <w:sz w:val="24"/>
                <w:szCs w:val="22"/>
                <w:lang w:val="en-US" w:eastAsia="en-US" w:bidi="ar-SA"/>
                <w:rFonts w:ascii="Times New Roman" w:hAnsi="Times New Roman" w:eastAsia="Times New Roman" w:cs="Times New Roman"/>
              </w:rPr>
              <w:t>Users are retired</w:t>
            </w:r>
          </w:p>
        </w:tc>
        <w:tc>
          <w:tcPr>
            <w:tcW w:w="2776" w:type="dxa"/>
          </w:tcPr>
          <w:p>
            <w:pPr>
              <w:pStyle w:val="Normal"/>
            </w:pPr>
            <w:r>
              <w:rPr>
                <w:sz w:val="24"/>
                <w:szCs w:val="22"/>
                <w:lang w:val="en-US" w:eastAsia="en-US" w:bidi="ar-SA"/>
                <w:rFonts w:ascii="Times New Roman" w:hAnsi="Times New Roman" w:eastAsia="Times New Roman" w:cs="Times New Roman"/>
              </w:rPr>
              <w:t>PU needs redefining</w:t>
            </w:r>
          </w:p>
        </w:tc>
      </w:tr>
      <w:tr>
        <w:trPr>
          <w:jc w:val="center"/>
        </w:trPr>
        <w:tc>
          <w:tcPr>
            <w:tcW w:w="2587" w:type="dxa"/>
          </w:tcPr>
          <w:p>
            <w:pPr>
              <w:pStyle w:val="Normal"/>
            </w:pPr>
            <w:r>
              <w:rPr>
                <w:sz w:val="24"/>
                <w:szCs w:val="22"/>
                <w:lang w:val="en-US" w:eastAsia="en-US" w:bidi="ar-SA"/>
                <w:rFonts w:ascii="Times New Roman" w:hAnsi="Times New Roman" w:eastAsia="Times New Roman" w:cs="Times New Roman"/>
              </w:rPr>
              <w:t>Positive perceptions predict adoption</w:t>
            </w:r>
          </w:p>
        </w:tc>
        <w:tc>
          <w:tcPr>
            <w:tcW w:w="3142"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776"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587" w:type="dxa"/>
          </w:tcPr>
          <w:p>
            <w:pPr>
              <w:pStyle w:val="Normal"/>
            </w:pPr>
            <w:r>
              <w:rPr>
                <w:sz w:val="24"/>
                <w:szCs w:val="22"/>
                <w:lang w:val="en-US" w:eastAsia="en-US" w:bidi="ar-SA"/>
                <w:rFonts w:ascii="Times New Roman" w:hAnsi="Times New Roman" w:eastAsia="Times New Roman" w:cs="Times New Roman"/>
              </w:rPr>
              <w:t>Negative experience reduces acceptance gradually</w:t>
            </w:r>
          </w:p>
        </w:tc>
        <w:tc>
          <w:tcPr>
            <w:tcW w:w="3142"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776"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587" w:type="dxa"/>
          </w:tcPr>
          <w:p>
            <w:pPr>
              <w:pStyle w:val="Normal"/>
            </w:pPr>
            <w:r>
              <w:rPr>
                <w:sz w:val="24"/>
                <w:szCs w:val="22"/>
                <w:lang w:val="en-US" w:eastAsia="en-US" w:bidi="ar-SA"/>
                <w:rFonts w:ascii="Times New Roman" w:hAnsi="Times New Roman" w:eastAsia="Times New Roman" w:cs="Times New Roman"/>
              </w:rPr>
              <w:t>No construct for failure response</w:t>
            </w:r>
          </w:p>
        </w:tc>
        <w:tc>
          <w:tcPr>
            <w:tcW w:w="3142"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776"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trPr>
        <w:tc>
          <w:tcPr>
            <w:tcW w:w="2079" w:type="dxa"/>
          </w:tcPr>
          <w:p>
            <w:pPr>
              <w:pStyle w:val="Normal"/>
            </w:pPr>
            <w:r>
              <w:rPr>
                <w:b/>
                <w:sz w:val="24"/>
                <w:szCs w:val="22"/>
                <w:lang w:val="en-US" w:eastAsia="en-US" w:bidi="ar-SA"/>
                <w:rFonts w:ascii="Times New Roman" w:hAnsi="Times New Roman" w:eastAsia="Times New Roman" w:cs="Times New Roman"/>
              </w:rPr>
              <w:t>Octalysis drive</w:t>
            </w:r>
          </w:p>
        </w:tc>
        <w:tc>
          <w:tcPr>
            <w:tcW w:w="2628" w:type="dxa"/>
          </w:tcPr>
          <w:p>
            <w:pPr>
              <w:pStyle w:val="Normal"/>
            </w:pPr>
            <w:r>
              <w:rPr>
                <w:b/>
                <w:sz w:val="24"/>
                <w:szCs w:val="22"/>
                <w:lang w:val="en-US" w:eastAsia="en-US" w:bidi="ar-SA"/>
                <w:rFonts w:ascii="Times New Roman" w:hAnsi="Times New Roman" w:eastAsia="Times New Roman" w:cs="Times New Roman"/>
              </w:rPr>
              <w:t>Standard assumption</w:t>
            </w:r>
          </w:p>
        </w:tc>
        <w:tc>
          <w:tcPr>
            <w:tcW w:w="3798"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Fear of losing progress sustains play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trPr>
        <w:tc>
          <w:tcPr>
            <w:tcW w:w="1053" w:type="dxa"/>
          </w:tcPr>
          <w:p>
            <w:pPr>
              <w:pStyle w:val="Normal"/>
            </w:pPr>
            <w:r>
              <w:rPr>
                <w:b/>
                <w:sz w:val="20"/>
                <w:szCs w:val="22"/>
                <w:lang w:val="en-US" w:eastAsia="en-US" w:bidi="ar-SA"/>
                <w:rFonts w:ascii="Times New Roman" w:hAnsi="Times New Roman" w:eastAsia="Times New Roman" w:cs="Times New Roman"/>
              </w:rPr>
              <w:t>Category</w:t>
            </w:r>
          </w:p>
        </w:tc>
        <w:tc>
          <w:tcPr>
            <w:tcW w:w="2401" w:type="dxa"/>
          </w:tcPr>
          <w:p>
            <w:pPr>
              <w:pStyle w:val="Normal"/>
            </w:pPr>
            <w:r>
              <w:rPr>
                <w:b/>
                <w:sz w:val="20"/>
                <w:szCs w:val="22"/>
                <w:lang w:val="en-US" w:eastAsia="en-US" w:bidi="ar-SA"/>
                <w:rFonts w:ascii="Times New Roman" w:hAnsi="Times New Roman" w:eastAsia="Times New Roman" w:cs="Times New Roman"/>
              </w:rPr>
              <w:t>Parameter</w:t>
            </w:r>
          </w:p>
        </w:tc>
        <w:tc>
          <w:tcPr>
            <w:tcW w:w="1967" w:type="dxa"/>
          </w:tcPr>
          <w:p>
            <w:pPr>
              <w:pStyle w:val="Normal"/>
            </w:pPr>
            <w:r>
              <w:rPr>
                <w:b/>
                <w:sz w:val="20"/>
                <w:szCs w:val="22"/>
                <w:lang w:val="en-US" w:eastAsia="en-US" w:bidi="ar-SA"/>
                <w:rFonts w:ascii="Times New Roman" w:hAnsi="Times New Roman" w:eastAsia="Times New Roman" w:cs="Times New Roman"/>
              </w:rPr>
              <w:t>Value</w:t>
            </w:r>
          </w:p>
        </w:tc>
        <w:tc>
          <w:tcPr>
            <w:tcW w:w="3084"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trPr>
        <w:tc>
          <w:tcPr>
            <w:tcW w:w="1467" w:type="dxa"/>
          </w:tcPr>
          <w:p>
            <w:pPr>
              <w:pStyle w:val="Normal"/>
            </w:pPr>
            <w:r>
              <w:rPr>
                <w:b/>
                <w:sz w:val="20"/>
                <w:szCs w:val="22"/>
                <w:lang w:val="en-US" w:eastAsia="en-US" w:bidi="ar-SA"/>
                <w:rFonts w:ascii="Times New Roman" w:hAnsi="Times New Roman" w:eastAsia="Times New Roman" w:cs="Times New Roman"/>
              </w:rPr>
              <w:t>Dimension</w:t>
            </w:r>
          </w:p>
        </w:tc>
        <w:tc>
          <w:tcPr>
            <w:tcW w:w="7038"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color w:val="000000"/>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highlight w:val="yellow"/>
        </w:rPr>
        <w:t>[AUTHOR INPUT NEEDED: confirm per-generation development dates and tooling - which build generations (early prototype, deployed Stage-2 build, Stage-3 HTML port, v2.x, v3.x) were developed with which tools and when - for the build-lineage matrix in Appendix G.]</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jc w:val="both"/>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trPr>
        <w:tc>
          <w:tcPr>
            <w:tcW w:w="4989" w:type="dxa"/>
          </w:tcPr>
          <w:p>
            <w:pPr>
              <w:pStyle w:val="Normal"/>
            </w:pPr>
            <w:r>
              <w:rPr>
                <w:b/>
                <w:sz w:val="24"/>
                <w:szCs w:val="26"/>
                <w:lang w:val="en-US" w:eastAsia="en-US" w:bidi="ar-SA"/>
                <w:rFonts w:ascii="Times New Roman" w:hAnsi="Times New Roman" w:eastAsia="Times New Roman" w:cs="Times New Roman"/>
              </w:rPr>
              <w:t>Engagement metric</w:t>
            </w:r>
          </w:p>
        </w:tc>
        <w:tc>
          <w:tcPr>
            <w:tcW w:w="3516" w:type="dxa"/>
          </w:tcPr>
          <w:p>
            <w:pPr>
              <w:pStyle w:val="Normal"/>
            </w:pPr>
            <w:r>
              <w:rPr>
                <w:b/>
                <w:sz w:val="24"/>
                <w:szCs w:val="26"/>
                <w:lang w:val="en-US" w:eastAsia="en-US" w:bidi="ar-SA"/>
                <w:rFonts w:ascii="Times New Roman" w:hAnsi="Times New Roman" w:eastAsia="Times New Roman" w:cs="Times New Roman"/>
              </w:rPr>
              <w:t>Value</w:t>
            </w:r>
          </w:p>
        </w:tc>
      </w:tr>
      <w:tr>
        <w:trPr>
          <w:jc w:val="center"/>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color w:val="000000"/>
          <w:szCs w:val="22"/>
        </w:rPr>
        <w:t>5.5A Translating the Findings into Design Priorities: A QFD Pipeline</w:t>
      </w:r>
    </w:p>
    <w:p>
      <w:pPr>
        <w:pStyle w:val="Normal"/>
        <w:jc w:val="both"/>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trPr>
        <w:tc>
          <w:tcPr>
            <w:tcW w:type="dxa" w:w="2842"/>
          </w:tcPr>
          <w:p>
            <w:pPr>
              <w:pStyle w:val="Normal"/>
            </w:pPr>
            <w:r>
              <w:rPr>
                <w:b/>
                <w:sz w:val="20"/>
                <w:szCs w:val="26"/>
                <w:lang w:val="en-US" w:eastAsia="en-US" w:bidi="ar-SA"/>
                <w:rFonts w:ascii="Times New Roman" w:hAnsi="Times New Roman" w:eastAsia="Times New Roman" w:cs="Times New Roman"/>
              </w:rPr>
              <w:t>User need (voice of the user)</w:t>
            </w:r>
          </w:p>
        </w:tc>
        <w:tc>
          <w:tcPr>
            <w:tcW w:type="dxa" w:w="4208"/>
          </w:tcPr>
          <w:p>
            <w:pPr>
              <w:pStyle w:val="Normal"/>
            </w:pPr>
            <w:r>
              <w:rPr>
                <w:b/>
                <w:sz w:val="20"/>
                <w:szCs w:val="26"/>
                <w:lang w:val="en-US" w:eastAsia="en-US" w:bidi="ar-SA"/>
                <w:rFonts w:ascii="Times New Roman" w:hAnsi="Times New Roman" w:eastAsia="Times New Roman" w:cs="Times New Roman"/>
              </w:rPr>
              <w:t>Evidence from the data</w:t>
            </w:r>
          </w:p>
        </w:tc>
        <w:tc>
          <w:tcPr>
            <w:tcW w:type="dxa" w:w="2374"/>
          </w:tcPr>
          <w:p>
            <w:pPr>
              <w:pStyle w:val="Normal"/>
            </w:pPr>
            <w:r>
              <w:rPr>
                <w:b/>
                <w:sz w:val="20"/>
                <w:szCs w:val="26"/>
                <w:lang w:val="en-US" w:eastAsia="en-US" w:bidi="ar-SA"/>
                <w:rFonts w:ascii="Times New Roman" w:hAnsi="Times New Roman" w:eastAsia="Times New Roman" w:cs="Times New Roman"/>
              </w:rPr>
              <w:t>Construct</w:t>
            </w:r>
          </w:p>
        </w:tc>
        <w:tc>
          <w:tcPr>
            <w:tcW w:type="dxa" w:w="1002"/>
          </w:tcPr>
          <w:p>
            <w:pPr>
              <w:pStyle w:val="Normal"/>
            </w:pPr>
            <w:r>
              <w:rPr>
                <w:b/>
                <w:sz w:val="20"/>
                <w:szCs w:val="26"/>
                <w:lang w:val="en-US" w:eastAsia="en-US" w:bidi="ar-SA"/>
                <w:rFonts w:ascii="Times New Roman" w:hAnsi="Times New Roman" w:eastAsia="Times New Roman" w:cs="Times New Roman"/>
              </w:rPr>
              <w:t>Adaptive difficulty (L2)</w:t>
            </w:r>
          </w:p>
        </w:tc>
        <w:tc>
          <w:tcPr>
            <w:tcW w:type="dxa" w:w="1002"/>
          </w:tcPr>
          <w:p>
            <w:pPr>
              <w:pStyle w:val="Normal"/>
            </w:pPr>
            <w:r>
              <w:rPr>
                <w:b/>
                <w:sz w:val="20"/>
                <w:szCs w:val="26"/>
                <w:lang w:val="en-US" w:eastAsia="en-US" w:bidi="ar-SA"/>
                <w:rFonts w:ascii="Times New Roman" w:hAnsi="Times New Roman" w:eastAsia="Times New Roman" w:cs="Times New Roman"/>
              </w:rPr>
              <w:t>Loss-free states</w:t>
            </w:r>
          </w:p>
        </w:tc>
        <w:tc>
          <w:tcPr>
            <w:tcW w:type="dxa" w:w="1002"/>
          </w:tcPr>
          <w:p>
            <w:pPr>
              <w:pStyle w:val="Normal"/>
            </w:pPr>
            <w:r>
              <w:rPr>
                <w:b/>
                <w:sz w:val="20"/>
                <w:szCs w:val="26"/>
                <w:lang w:val="en-US" w:eastAsia="en-US" w:bidi="ar-SA"/>
                <w:rFonts w:ascii="Times New Roman" w:hAnsi="Times New Roman" w:eastAsia="Times New Roman" w:cs="Times New Roman"/>
              </w:rPr>
              <w:t>Trajectory display (L5)</w:t>
            </w:r>
          </w:p>
        </w:tc>
        <w:tc>
          <w:tcPr>
            <w:tcW w:type="dxa" w:w="1007"/>
          </w:tcPr>
          <w:p>
            <w:pPr>
              <w:pStyle w:val="Normal"/>
            </w:pPr>
            <w:r>
              <w:rPr>
                <w:b/>
                <w:sz w:val="20"/>
                <w:szCs w:val="26"/>
                <w:lang w:val="en-US" w:eastAsia="en-US" w:bidi="ar-SA"/>
                <w:rFonts w:ascii="Times New Roman" w:hAnsi="Times New Roman" w:eastAsia="Times New Roman" w:cs="Times New Roman"/>
              </w:rPr>
              <w:t>Coaching (L6)</w:t>
            </w:r>
          </w:p>
        </w:tc>
      </w:tr>
      <w:t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color w:val="000000"/>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early disengagement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decoupling comparison — a non-equivalent-cohort study that motivates, but cannot alone establish, the framing account.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That participants who knew the origin still returned after failure sharpens the reading rather than weakening it: what changed between the stages was not what participants knew, but what the artefact did with their failures.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trPr>
        <w:tc>
          <w:tcPr>
            <w:tcW w:w="4518" w:type="dxa"/>
          </w:tcPr>
          <w:p>
            <w:pPr>
              <w:pStyle w:val="Normal"/>
            </w:pPr>
            <w:r>
              <w:rPr>
                <w:b/>
                <w:sz w:val="24"/>
                <w:szCs w:val="26"/>
                <w:lang w:val="en-US" w:eastAsia="en-US" w:bidi="ar-SA"/>
                <w:rFonts w:ascii="Times New Roman" w:hAnsi="Times New Roman" w:eastAsia="Times New Roman" w:cs="Times New Roman"/>
              </w:rPr>
              <w:t>Engagement metric</w:t>
            </w:r>
          </w:p>
        </w:tc>
        <w:tc>
          <w:tcPr>
            <w:tcW w:w="1993" w:type="dxa"/>
          </w:tcPr>
          <w:p>
            <w:pPr>
              <w:pStyle w:val="Normal"/>
            </w:pPr>
            <w:r>
              <w:rPr>
                <w:b/>
                <w:sz w:val="24"/>
                <w:szCs w:val="26"/>
                <w:lang w:val="en-US" w:eastAsia="en-US" w:bidi="ar-SA"/>
                <w:rFonts w:ascii="Times New Roman" w:hAnsi="Times New Roman" w:eastAsia="Times New Roman" w:cs="Times New Roman"/>
              </w:rPr>
              <w:t>Count</w:t>
            </w:r>
          </w:p>
        </w:tc>
        <w:tc>
          <w:tcPr>
            <w:tcW w:w="1994" w:type="dxa"/>
          </w:tcPr>
          <w:p>
            <w:pPr>
              <w:pStyle w:val="Normal"/>
            </w:pPr>
            <w:r>
              <w:rPr>
                <w:b/>
                <w:sz w:val="24"/>
                <w:szCs w:val="26"/>
                <w:lang w:val="en-US" w:eastAsia="en-US" w:bidi="ar-SA"/>
                <w:rFonts w:ascii="Times New Roman" w:hAnsi="Times New Roman" w:eastAsia="Times New Roman" w:cs="Times New Roman"/>
              </w:rPr>
              <w:t>Percentage</w:t>
            </w:r>
          </w:p>
        </w:tc>
      </w:tr>
      <w:tr>
        <w:trPr>
          <w:jc w:val="center"/>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trPr>
        <w:tc>
          <w:tcPr>
            <w:tcW w:w="1318" w:type="dxa"/>
          </w:tcPr>
          <w:p>
            <w:pPr>
              <w:pStyle w:val="Normal"/>
            </w:pPr>
            <w:r>
              <w:rPr>
                <w:szCs w:val="26"/>
                <w:lang w:val="en-US" w:eastAsia="en-US" w:bidi="ar-SA"/>
                <w:rFonts w:ascii="Times New Roman" w:hAnsi="Times New Roman" w:eastAsia="Times New Roman" w:cs="Times New Roman"/>
                <w:sz w:val="24"/>
                <w:b/>
              </w:rPr>
              <w:t>Age band</w:t>
            </w:r>
          </w:p>
        </w:tc>
        <w:tc>
          <w:tcPr>
            <w:tcW w:w="1114" w:type="dxa"/>
          </w:tcPr>
          <w:p>
            <w:pPr>
              <w:pStyle w:val="Normal"/>
            </w:pPr>
            <w:r>
              <w:rPr>
                <w:b/>
                <w:sz w:val="24"/>
                <w:szCs w:val="26"/>
                <w:lang w:val="en-US" w:eastAsia="en-US" w:bidi="ar-SA"/>
                <w:rFonts w:ascii="Times New Roman" w:hAnsi="Times New Roman" w:eastAsia="Times New Roman" w:cs="Times New Roman"/>
              </w:rPr>
              <w:t>n</w:t>
            </w:r>
          </w:p>
        </w:tc>
        <w:tc>
          <w:tcPr>
            <w:tcW w:w="1796" w:type="dxa"/>
          </w:tcPr>
          <w:p>
            <w:pPr>
              <w:pStyle w:val="Normal"/>
            </w:pPr>
            <w:r>
              <w:rPr>
                <w:b/>
                <w:sz w:val="24"/>
                <w:szCs w:val="26"/>
                <w:lang w:val="en-US" w:eastAsia="en-US" w:bidi="ar-SA"/>
                <w:rFonts w:ascii="Times New Roman" w:hAnsi="Times New Roman" w:eastAsia="Times New Roman" w:cs="Times New Roman"/>
              </w:rPr>
              <w:t>Initial dropout</w:t>
            </w:r>
          </w:p>
        </w:tc>
        <w:tc>
          <w:tcPr>
            <w:tcW w:w="1114" w:type="dxa"/>
          </w:tcPr>
          <w:p>
            <w:pPr>
              <w:pStyle w:val="Normal"/>
            </w:pPr>
            <w:r>
              <w:rPr>
                <w:b/>
                <w:sz w:val="24"/>
                <w:szCs w:val="26"/>
                <w:lang w:val="en-US" w:eastAsia="en-US" w:bidi="ar-SA"/>
                <w:rFonts w:ascii="Times New Roman" w:hAnsi="Times New Roman" w:eastAsia="Times New Roman" w:cs="Times New Roman"/>
              </w:rPr>
              <w:t>Returned</w:t>
            </w:r>
          </w:p>
        </w:tc>
        <w:tc>
          <w:tcPr>
            <w:tcW w:w="1796" w:type="dxa"/>
          </w:tcPr>
          <w:p>
            <w:pPr>
              <w:pStyle w:val="Normal"/>
            </w:pPr>
            <w:r>
              <w:rPr>
                <w:szCs w:val="22"/>
                <w:lang w:val="en-US" w:eastAsia="en-US" w:bidi="ar-SA"/>
                <w:rFonts w:ascii="Times New Roman" w:hAnsi="Times New Roman" w:eastAsia="Times New Roman" w:cs="Times New Roman"/>
                <w:sz w:val="24"/>
              </w:rPr>
              <w:t>Observed non-return</w:t>
            </w:r>
          </w:p>
        </w:tc>
        <w:tc>
          <w:tcPr>
            <w:tcW w:w="1367" w:type="dxa"/>
          </w:tcPr>
          <w:p>
            <w:pPr>
              <w:pStyle w:val="Normal"/>
            </w:pPr>
            <w:r>
              <w:rPr>
                <w:b/>
                <w:sz w:val="24"/>
                <w:szCs w:val="26"/>
                <w:lang w:val="en-US" w:eastAsia="en-US" w:bidi="ar-SA"/>
                <w:rFonts w:ascii="Times New Roman" w:hAnsi="Times New Roman" w:eastAsia="Times New Roman" w:cs="Times New Roman"/>
              </w:rPr>
              <w:t>Retention</w:t>
            </w:r>
          </w:p>
        </w:tc>
      </w:tr>
      <w:tr>
        <w:trPr>
          <w:jc w:val="center"/>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trPr>
        <w:tc>
          <w:tcPr>
            <w:tcW w:w="3197" w:type="dxa"/>
          </w:tcPr>
          <w:p>
            <w:pPr>
              <w:pStyle w:val="Normal"/>
            </w:pPr>
            <w:r>
              <w:rPr>
                <w:b/>
                <w:sz w:val="24"/>
                <w:szCs w:val="26"/>
                <w:lang w:val="en-US" w:eastAsia="en-US" w:bidi="ar-SA"/>
                <w:rFonts w:ascii="Times New Roman" w:hAnsi="Times New Roman" w:eastAsia="Times New Roman" w:cs="Times New Roman"/>
              </w:rPr>
              <w:t>Item</w:t>
            </w:r>
          </w:p>
        </w:tc>
        <w:tc>
          <w:tcPr>
            <w:tcW w:w="1393" w:type="dxa"/>
          </w:tcPr>
          <w:p>
            <w:pPr>
              <w:pStyle w:val="Normal"/>
            </w:pPr>
            <w:r>
              <w:rPr>
                <w:b/>
                <w:sz w:val="24"/>
                <w:szCs w:val="26"/>
                <w:lang w:val="en-US" w:eastAsia="en-US" w:bidi="ar-SA"/>
                <w:rFonts w:ascii="Times New Roman" w:hAnsi="Times New Roman" w:eastAsia="Times New Roman" w:cs="Times New Roman"/>
              </w:rPr>
              <w:t>Younger 25–44</w:t>
            </w:r>
          </w:p>
        </w:tc>
        <w:tc>
          <w:tcPr>
            <w:tcW w:w="1356" w:type="dxa"/>
          </w:tcPr>
          <w:p>
            <w:pPr>
              <w:pStyle w:val="Normal"/>
            </w:pPr>
            <w:r>
              <w:rPr>
                <w:b/>
                <w:sz w:val="24"/>
                <w:szCs w:val="26"/>
                <w:lang w:val="en-US" w:eastAsia="en-US" w:bidi="ar-SA"/>
                <w:rFonts w:ascii="Times New Roman" w:hAnsi="Times New Roman" w:eastAsia="Times New Roman" w:cs="Times New Roman"/>
              </w:rPr>
              <w:t>Middle 45–64</w:t>
            </w:r>
          </w:p>
        </w:tc>
        <w:tc>
          <w:tcPr>
            <w:tcW w:w="1318" w:type="dxa"/>
          </w:tcPr>
          <w:p>
            <w:pPr>
              <w:pStyle w:val="Normal"/>
            </w:pPr>
            <w:r>
              <w:rPr>
                <w:b/>
                <w:sz w:val="24"/>
                <w:szCs w:val="26"/>
                <w:lang w:val="en-US" w:eastAsia="en-US" w:bidi="ar-SA"/>
                <w:rFonts w:ascii="Times New Roman" w:hAnsi="Times New Roman" w:eastAsia="Times New Roman" w:cs="Times New Roman"/>
              </w:rPr>
              <w:t>Older 65–80</w:t>
            </w:r>
          </w:p>
        </w:tc>
        <w:tc>
          <w:tcPr>
            <w:tcW w:w="1241" w:type="dxa"/>
          </w:tcPr>
          <w:p>
            <w:pPr>
              <w:pStyle w:val="Normal"/>
            </w:pPr>
            <w:r>
              <w:rPr>
                <w:b/>
                <w:sz w:val="24"/>
                <w:szCs w:val="26"/>
                <w:lang w:val="en-US" w:eastAsia="en-US" w:bidi="ar-SA"/>
                <w:rFonts w:ascii="Times New Roman" w:hAnsi="Times New Roman" w:eastAsia="Times New Roman" w:cs="Times New Roman"/>
              </w:rPr>
              <w:t>Total</w:t>
            </w:r>
          </w:p>
        </w:tc>
      </w:tr>
      <w:tr>
        <w:trPr>
          <w:jc w:val="center"/>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color w:val="000000"/>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attachment the demonstrations did not transfer, and FIAS names the proposed account of why.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trPr>
        <w:tc>
          <w:tcPr>
            <w:tcW w:w="1605" w:type="dxa"/>
          </w:tcPr>
          <w:p>
            <w:pPr>
              <w:pStyle w:val="Normal"/>
            </w:pPr>
            <w:r>
              <w:rPr>
                <w:b/>
                <w:sz w:val="24"/>
                <w:szCs w:val="26"/>
                <w:lang w:val="en-US" w:eastAsia="en-US" w:bidi="ar-SA"/>
                <w:rFonts w:ascii="Times New Roman" w:hAnsi="Times New Roman" w:eastAsia="Times New Roman" w:cs="Times New Roman"/>
              </w:rPr>
              <w:t>Model</w:t>
            </w:r>
          </w:p>
        </w:tc>
        <w:tc>
          <w:tcPr>
            <w:tcW w:w="3764" w:type="dxa"/>
          </w:tcPr>
          <w:p>
            <w:pPr>
              <w:pStyle w:val="Normal"/>
            </w:pPr>
            <w:r>
              <w:rPr>
                <w:b/>
                <w:sz w:val="24"/>
                <w:szCs w:val="26"/>
                <w:lang w:val="en-US" w:eastAsia="en-US" w:bidi="ar-SA"/>
                <w:rFonts w:ascii="Times New Roman" w:hAnsi="Times New Roman" w:eastAsia="Times New Roman" w:cs="Times New Roman"/>
              </w:rPr>
              <w:t>Predictors</w:t>
            </w:r>
          </w:p>
        </w:tc>
        <w:tc>
          <w:tcPr>
            <w:tcW w:w="3136" w:type="dxa"/>
          </w:tcPr>
          <w:p>
            <w:pPr>
              <w:pStyle w:val="Normal"/>
            </w:pPr>
            <w:r>
              <w:rPr>
                <w:b/>
                <w:sz w:val="24"/>
                <w:szCs w:val="26"/>
                <w:lang w:val="en-US" w:eastAsia="en-US" w:bidi="ar-SA"/>
                <w:rFonts w:ascii="Times New Roman" w:hAnsi="Times New Roman" w:eastAsia="Times New Roman" w:cs="Times New Roman"/>
              </w:rPr>
              <w:t>Construct represented</w:t>
            </w:r>
          </w:p>
        </w:tc>
      </w:tr>
      <w:tr>
        <w:trPr>
          <w:jc w:val="center"/>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Acceptance-model account of intention; predicts initial use</w:t>
            </w:r>
          </w:p>
        </w:tc>
      </w:tr>
      <w:tr>
        <w:trPr>
          <w:jc w:val="center"/>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trPr>
        <w:tc>
          <w:tcPr>
            <w:tcW w:w="2649" w:type="dxa"/>
          </w:tcPr>
          <w:p>
            <w:pPr>
              <w:pStyle w:val="Normal"/>
            </w:pPr>
            <w:r>
              <w:rPr>
                <w:b/>
                <w:sz w:val="24"/>
                <w:szCs w:val="22"/>
                <w:lang w:val="en-US" w:eastAsia="en-US" w:bidi="ar-SA"/>
                <w:rFonts w:ascii="Times New Roman" w:hAnsi="Times New Roman" w:eastAsia="Times New Roman" w:cs="Times New Roman"/>
              </w:rPr>
              <w:t>Contrast or quantity</w:t>
            </w:r>
          </w:p>
        </w:tc>
        <w:tc>
          <w:tcPr>
            <w:tcW w:w="1290" w:type="dxa"/>
          </w:tcPr>
          <w:p>
            <w:pPr>
              <w:pStyle w:val="Normal"/>
            </w:pPr>
            <w:r>
              <w:rPr>
                <w:b/>
                <w:sz w:val="24"/>
                <w:szCs w:val="22"/>
                <w:lang w:val="en-US" w:eastAsia="en-US" w:bidi="ar-SA"/>
                <w:rFonts w:ascii="Times New Roman" w:hAnsi="Times New Roman" w:eastAsia="Times New Roman" w:cs="Times New Roman"/>
              </w:rPr>
              <w:t>Estimate</w:t>
            </w:r>
          </w:p>
        </w:tc>
        <w:tc>
          <w:tcPr>
            <w:tcW w:w="1365" w:type="dxa"/>
          </w:tcPr>
          <w:p>
            <w:pPr>
              <w:pStyle w:val="Normal"/>
            </w:pPr>
            <w:r>
              <w:rPr>
                <w:b/>
                <w:sz w:val="24"/>
                <w:szCs w:val="22"/>
                <w:lang w:val="en-US" w:eastAsia="en-US" w:bidi="ar-SA"/>
                <w:rFonts w:ascii="Times New Roman" w:hAnsi="Times New Roman" w:eastAsia="Times New Roman" w:cs="Times New Roman"/>
              </w:rPr>
              <w:t>95% CI</w:t>
            </w:r>
          </w:p>
        </w:tc>
        <w:tc>
          <w:tcPr>
            <w:tcW w:w="772" w:type="dxa"/>
          </w:tcPr>
          <w:p>
            <w:pPr>
              <w:pStyle w:val="Normal"/>
            </w:pPr>
            <w:r>
              <w:rPr>
                <w:b/>
                <w:sz w:val="24"/>
                <w:szCs w:val="22"/>
                <w:lang w:val="en-US" w:eastAsia="en-US" w:bidi="ar-SA"/>
                <w:rFonts w:ascii="Times New Roman" w:hAnsi="Times New Roman" w:eastAsia="Times New Roman" w:cs="Times New Roman"/>
              </w:rPr>
              <w:t>n</w:t>
            </w:r>
          </w:p>
        </w:tc>
        <w:tc>
          <w:tcPr>
            <w:tcW w:w="2429" w:type="dxa"/>
          </w:tcPr>
          <w:p>
            <w:pPr>
              <w:pStyle w:val="Normal"/>
            </w:pPr>
            <w:r>
              <w:rPr>
                <w:b/>
                <w:sz w:val="24"/>
                <w:szCs w:val="22"/>
                <w:lang w:val="en-US" w:eastAsia="en-US" w:bidi="ar-SA"/>
                <w:rFonts w:ascii="Times New Roman" w:hAnsi="Times New Roman" w:eastAsia="Times New Roman" w:cs="Times New Roman"/>
              </w:rPr>
              <w:t>Test / source</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w:t>
            </w:r>
          </w:p>
        </w:tc>
        <w:tc>
          <w:tcPr>
            <w:tcW w:w="1365" w:type="dxa"/>
          </w:tcPr>
          <w:p>
            <w:pPr>
              <w:pStyle w:val="Normal"/>
            </w:pPr>
            <w:r>
              <w:rPr>
                <w:szCs w:val="22"/>
                <w:lang w:val="en-US" w:eastAsia="en-US" w:bidi="ar-SA"/>
                <w:rFonts w:ascii="Times New Roman" w:hAnsi="Times New Roman" w:eastAsia="Times New Roman" w:cs="Times New Roman"/>
                <w:sz w:val="24"/>
              </w:rPr>
              <w:t>p = 0.013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2"/>
      </w:pPr>
      <w:r>
        <w:t>6.12 The Expert Consultation Panel (March–September 2026)</w:t>
      </w:r>
    </w:p>
    <w:p>
      <w:pPr>
        <w:jc w:val="both"/>
      </w:pPr>
      <w:r>
        <w:t>The programme's fourth evidence activity closed its empirical arc in calendar order: after the Stage-3 window, the findings of all three stages were taken to a panel of four senior practitioners and researchers between March and August 2026, under the method, consent and analysis arrangements described in §3.2 (records: Appendix H.1-H.8). Dr Yuan's commitment-gap consultation is reported at §6.8A above; the panel-wide analysis follows here, reported as convergence, divergence and silence.</w:t>
      </w:r>
    </w:p>
    <w:p>
      <w:pPr>
        <w:jc w:val="both"/>
      </w:pPr>
      <w:r>
        <w:t>Three further consultations extend the validation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an independent, practice-based statement of the attribution claim at the centre of this thesis.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supporting the occupied-middle argument of Figure 8.1; games pitched too simply read as childish to older players; and, most distinctively, that higher-educated patients who are observed failing will probably stop immediately - failure witnessed is a stronger stopping trigger than failure alone, which retrospectively supports Stage 3's choice of private, unsupervised play. In a dated follow-up he played the decoupled build itself and judged it suitable for fall-risk assessment, stating he would return to it regularly were it installed - the panel's first artifact-level validation, mirroring the study's intention construct behaviourally.</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That pair of statements is the clinical case for the framework's coaching layer, and for AI's enabling role as the affordable way to give every user a coach.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verdict-attribution corroboration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r>
        <w:rPr>
          <w:lang w:val="en-US" w:eastAsia="en-US" w:bidi="ar-SA"/>
          <w:color w:val="000000"/>
          <w:szCs w:val="22"/>
        </w:rPr>
        <w:t>Chapter 7 Discussion: Adaptive Learning as the Behavioural-Change Driver</w:t>
      </w:r>
      <w:bookmarkEnd w:id="111"/>
    </w:p>
    <w:p>
      <w:pPr>
        <w:pStyle w:val="Heading2"/>
      </w:pPr>
      <w:r>
        <w:rPr>
          <w:lang w:val="en-US" w:eastAsia="en-US" w:bidi="ar-SA"/>
          <w:color w:val="000000"/>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color w:val="000000"/>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jc w:val="both"/>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offered as jointly covering the appraisal chain as this programme has mapped it - a design claim about coverage of the observed chain, not a claim of empirical exhaustiveness or unique necessity - with the principles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trPr>
        <w:tc>
          <w:tcPr>
            <w:tcW w:w="1909" w:type="dxa"/>
          </w:tcPr>
          <w:p>
            <w:pPr>
              <w:pStyle w:val="Normal"/>
            </w:pPr>
            <w:r>
              <w:rPr>
                <w:b/>
                <w:sz w:val="24"/>
                <w:szCs w:val="22"/>
                <w:lang w:val="en-US" w:eastAsia="en-US" w:bidi="ar-SA"/>
                <w:rFonts w:ascii="Times New Roman" w:hAnsi="Times New Roman" w:eastAsia="Times New Roman" w:cs="Times New Roman"/>
              </w:rPr>
              <w:t>Principle</w:t>
            </w:r>
          </w:p>
        </w:tc>
        <w:tc>
          <w:tcPr>
            <w:tcW w:w="3313" w:type="dxa"/>
          </w:tcPr>
          <w:p>
            <w:pPr>
              <w:pStyle w:val="Normal"/>
            </w:pPr>
            <w:r>
              <w:rPr>
                <w:b/>
                <w:sz w:val="24"/>
                <w:szCs w:val="22"/>
                <w:lang w:val="en-US" w:eastAsia="en-US" w:bidi="ar-SA"/>
                <w:rFonts w:ascii="Times New Roman" w:hAnsi="Times New Roman" w:eastAsia="Times New Roman" w:cs="Times New Roman"/>
              </w:rPr>
              <w:t>What it does</w:t>
            </w:r>
          </w:p>
        </w:tc>
        <w:tc>
          <w:tcPr>
            <w:tcW w:w="3283" w:type="dxa"/>
          </w:tcPr>
          <w:p>
            <w:pPr>
              <w:pStyle w:val="Normal"/>
            </w:pPr>
            <w:r>
              <w:rPr>
                <w:b/>
                <w:sz w:val="24"/>
                <w:szCs w:val="22"/>
                <w:lang w:val="en-US" w:eastAsia="en-US" w:bidi="ar-SA"/>
                <w:rFonts w:ascii="Times New Roman" w:hAnsi="Times New Roman" w:eastAsia="Times New Roman" w:cs="Times New Roman"/>
              </w:rPr>
              <w:t>Empirical anchor</w:t>
            </w:r>
          </w:p>
        </w:tc>
      </w:tr>
      <w:tr>
        <w:trPr>
          <w:jc w:val="center"/>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Removes the cue that sorts the activity into the user's health account</w:t>
            </w:r>
          </w:p>
        </w:tc>
        <w:tc>
          <w:tcPr>
            <w:tcW w:w="3283"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Makes a dynamic self-concept trajectory the reference point against which performance is read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Continuously matches challenge, feedback affect and pacing to the user's position</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color w:val="000000"/>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trPr>
        <w:tc>
          <w:tcPr>
            <w:tcW w:w="1629" w:type="dxa"/>
          </w:tcPr>
          <w:p>
            <w:pPr>
              <w:pStyle w:val="Normal"/>
            </w:pPr>
            <w:r>
              <w:rPr>
                <w:szCs w:val="22"/>
                <w:lang w:val="en-US" w:eastAsia="en-US" w:bidi="ar-SA"/>
                <w:rFonts w:ascii="Times New Roman" w:hAnsi="Times New Roman" w:eastAsia="Times New Roman" w:cs="Times New Roman"/>
                <w:sz w:val="20"/>
              </w:rPr>
              <w:t>Layer</w:t>
            </w:r>
          </w:p>
        </w:tc>
        <w:tc>
          <w:tcPr>
            <w:tcW w:w="3111" w:type="dxa"/>
          </w:tcPr>
          <w:p>
            <w:pPr>
              <w:pStyle w:val="Normal"/>
            </w:pPr>
            <w:r>
              <w:rPr>
                <w:b/>
                <w:sz w:val="20"/>
                <w:szCs w:val="22"/>
                <w:lang w:val="en-US" w:eastAsia="en-US" w:bidi="ar-SA"/>
                <w:rFonts w:ascii="Times New Roman" w:hAnsi="Times New Roman" w:eastAsia="Times New Roman" w:cs="Times New Roman"/>
              </w:rPr>
              <w:t>Component</w:t>
            </w:r>
          </w:p>
        </w:tc>
        <w:tc>
          <w:tcPr>
            <w:tcW w:w="1086"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679"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L0 Sensor</w:t>
            </w:r>
          </w:p>
        </w:tc>
        <w:tc>
          <w:tcPr>
            <w:tcW w:w="3111"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L1 Game Engine</w:t>
            </w:r>
          </w:p>
        </w:tc>
        <w:tc>
          <w:tcPr>
            <w:tcW w:w="3111"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L2 AI Adaptation</w:t>
            </w:r>
          </w:p>
        </w:tc>
        <w:tc>
          <w:tcPr>
            <w:tcW w:w="3111"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L3 Logging</w:t>
            </w:r>
          </w:p>
        </w:tc>
        <w:tc>
          <w:tcPr>
            <w:tcW w:w="3111"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L4 Clinical Output</w:t>
            </w:r>
          </w:p>
        </w:tc>
        <w:tc>
          <w:tcPr>
            <w:tcW w:w="3111"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086" w:type="dxa"/>
          </w:tcPr>
          <w:p>
            <w:pPr>
              <w:pStyle w:val="Normal"/>
            </w:pPr>
            <w:r>
              <w:rPr>
                <w:sz w:val="20"/>
                <w:szCs w:val="22"/>
                <w:lang w:val="en-US" w:eastAsia="en-US" w:bidi="ar-SA"/>
                <w:rFonts w:ascii="Times New Roman" w:hAnsi="Times New Roman" w:eastAsia="Times New Roman" w:cs="Times New Roman"/>
              </w:rPr>
              <w:t>—</w:t>
            </w:r>
          </w:p>
        </w:tc>
        <w:tc>
          <w:tcPr>
            <w:tcW w:w="2679"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L5 User-Facing Trajectory</w:t>
            </w:r>
          </w:p>
        </w:tc>
        <w:tc>
          <w:tcPr>
            <w:tcW w:w="3111"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1"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629"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1"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086" w:type="dxa"/>
          </w:tcPr>
          <w:p>
            <w:pPr>
              <w:pStyle w:val="Normal"/>
            </w:pPr>
            <w:r>
              <w:rPr>
                <w:sz w:val="20"/>
                <w:szCs w:val="22"/>
                <w:lang w:val="en-US" w:eastAsia="en-US" w:bidi="ar-SA"/>
                <w:rFonts w:ascii="Times New Roman" w:hAnsi="Times New Roman" w:eastAsia="Times New Roman" w:cs="Times New Roman"/>
              </w:rPr>
              <w:t>—</w:t>
            </w:r>
          </w:p>
        </w:tc>
        <w:tc>
          <w:tcPr>
            <w:tcW w:w="2679"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color w:val="000000"/>
          <w:szCs w:val="22"/>
        </w:rPr>
        <w:t>7.5A One Architecture: Phenomenon, Principles, Engine</w:t>
      </w:r>
    </w:p>
    <w:p>
      <w:pPr>
        <w:pStyle w:val="Normal"/>
        <w:jc w:val="both"/>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jc w:val="both"/>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szCs w:val="26"/>
          <w:lang w:val="en-US" w:eastAsia="en-US" w:bidi="ar-SA"/>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color w:val="000000"/>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color w:val="00000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jc w:val="center"/>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trPr>
        <w:tc>
          <w:tcPr>
            <w:tcW w:type="dxa" w:w="1472"/>
          </w:tcPr>
          <w:p>
            <w:pPr>
              <w:pStyle w:val="Normal"/>
            </w:pPr>
            <w:r>
              <w:rPr>
                <w:b/>
                <w:sz w:val="24"/>
                <w:szCs w:val="22"/>
                <w:lang w:val="en-US" w:eastAsia="en-US" w:bidi="ar-SA"/>
                <w:rFonts w:ascii="Times New Roman" w:hAnsi="Times New Roman" w:eastAsia="Times New Roman" w:cs="Times New Roman"/>
              </w:rPr>
              <w:t>Register</w:t>
            </w:r>
          </w:p>
        </w:tc>
        <w:tc>
          <w:tcPr>
            <w:tcW w:type="dxa" w:w="5179"/>
          </w:tcPr>
          <w:p>
            <w:pPr>
              <w:pStyle w:val="Normal"/>
            </w:pPr>
            <w:r>
              <w:rPr>
                <w:b/>
                <w:sz w:val="24"/>
                <w:szCs w:val="22"/>
                <w:lang w:val="en-US" w:eastAsia="en-US" w:bidi="ar-SA"/>
                <w:rFonts w:ascii="Times New Roman" w:hAnsi="Times New Roman" w:eastAsia="Times New Roman" w:cs="Times New Roman"/>
              </w:rPr>
              <w:t>Contribution</w:t>
            </w:r>
          </w:p>
        </w:tc>
        <w:tc>
          <w:tcPr>
            <w:tcW w:type="dxa" w:w="1854"/>
          </w:tcPr>
          <w:p>
            <w:pPr>
              <w:pStyle w:val="Normal"/>
            </w:pPr>
            <w:r>
              <w:rPr>
                <w:b/>
                <w:sz w:val="24"/>
                <w:szCs w:val="22"/>
                <w:lang w:val="en-US" w:eastAsia="en-US" w:bidi="ar-SA"/>
                <w:rFonts w:ascii="Times New Roman" w:hAnsi="Times New Roman" w:eastAsia="Times New Roman" w:cs="Times New Roman"/>
              </w:rPr>
              <w:t>Stated in</w:t>
            </w:r>
          </w:p>
        </w:tc>
      </w:tr>
      <w:tr>
        <w:tc>
          <w:tcPr>
            <w:tcW w:type="dxa" w:w="1472"/>
          </w:tcPr>
          <w:p>
            <w:pPr>
              <w:pStyle w:val="Normal"/>
            </w:pPr>
            <w:r>
              <w:rPr>
                <w:sz w:val="24"/>
                <w:szCs w:val="22"/>
                <w:lang w:val="en-US" w:eastAsia="en-US" w:bidi="ar-SA"/>
                <w:rFonts w:ascii="Times New Roman" w:hAnsi="Times New Roman" w:eastAsia="Times New Roman" w:cs="Times New Roman"/>
              </w:rPr>
              <w:t>Scientific</w:t>
            </w:r>
          </w:p>
        </w:tc>
        <w:tc>
          <w:tcPr>
            <w:tcW w:type="dxa" w:w="5179"/>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a design element the programme's evidence directly motivates for re-attaching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color w:val="00000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jc w:val="both"/>
      </w:pPr>
      <w:r>
        <w:t>Stage 3B extends the modality inventory a third step - iPad touch steering (on-screen arrows, with keyboard, controller and tilt as alternatives, and the input mode actually used logged per run in the session record) - so the programme now spans standing whole-body input (Stage 2), seated hand input (Stage 3) and seated touch input (Stage 3B). Three points keep this from contaminating the inferences. First, every confirmatory contrast is internally single-modality: the score-improvement/non-return paradox arose entirely within the Stage-2 panel cohort, the age gradient entirely within the Stage-3 remote cohort, and the Stage-3B 2x2 contrasts (adaptive against static, zero-failure against failure-possible) are randomised within one touch-input fleet - so input modality attaches only to the between-stage comparisons, which are already calibrated as non-causal (§6.7). Second, the randomised within-cohort study specified above holds hardware, software and input device constant across arms, which is the design that finally separates frame from modality. Third, the gradient itself is theoretically informative rather than mere noise: if failure produced by one's own balance speaks more directly to bodily decline than failure produced by one's fingers, then input modality is an identity-exposure dial, and the framework can use it as one - a graduated-embodiment pathway in which engagement begins at the lowest-stake modality (touch), moves through seated foot-pad play, and only then returns to the standing panel, letting confidence accumulate before the body itself is back on trial. On that reading, the modality differences across the programme's stages are not a flaw to explain away but an accidental first traversal of the very ladder the re-attachment design (§7.9) would build deliberately.</w:t>
      </w:r>
    </w:p>
    <w:p>
      <w:pPr>
        <w:pStyle w:val="Heading3"/>
      </w:pPr>
      <w:r>
        <w:t>8.5.9 Attrition-Like Dropout</w:t>
      </w:r>
    </w:p>
    <w:p>
      <w:pPr>
        <w:jc w:val="both"/>
      </w:pPr>
      <w:r>
        <w:t>Concern: the simplest rival explanation reads the empty station as ordinary attrition - users drift away because the machine is mildly boring, slightly inconvenient, or simply loses novelty, so that no behavioural-economics account of identity threat is needed to explain why older adults stop using a piece of equipment. Response: this rival deserves to be named because it is the account an examiner of parsimony should reach for first, and the programme's data speak to it directly. A gradual-decay account predicts declining session frequency before exit and occasional casual returns afterwards; the Stage-2 record shows neither - exits clustered abruptly at or before three cycles, and none of the twenty-one disengaged participants re-engaged within the observation window (Table 5.2). Attrition also cannot accommodate the objective-score-improvement/non-return paradox (§5.6): boredom does not select for players whose recorded performance was rising. Most directly, attrition is indifferent to framing, so it predicts no difference when the clinical frame is removed while the game mechanics stay the same; the substantially higher post-failure return in the decoupled Stage-3 cohort (§6.5) is therefore evidence against attrition as the governing account, subject to the between-cohort limits stated in §6.7. What survives calibration is bounded: a residual attrition component in any individual exit cannot be excluded, and the short observation windows leave slow-decay dynamics unmeasured; the longitudinal follow-up specified in §8.8 is the instrument that would bound it.</w:t>
      </w:r>
    </w:p>
    <w:p>
      <w:pPr>
        <w:pStyle w:val="Heading3"/>
      </w:pPr>
      <w: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color w:val="00000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jc w:val="both"/>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jc w:val="both"/>
      </w:pPr>
      <w:r>
        <w:t>A related rival, raised by the programme's industrial partner in draft review and conceded here, operates at the group level: non-use may be sustained by a collective, socially shared narrative - a common-room conclusion that the station signifies decline - rather than, or in addition to, each individual's private appraisal. The three parties of this section are also a narrative community, and a shared story travels between them faster than any individual verdict. This reading has explanatory reach the individual account lacks: it can produce pre-emptive avoidance in residents who never touched the device - and the majority of Stage-1 respondents reported no prior FRA use - because a narrative, unlike an adverse first experience, is transmissible second-hand. The programme's instruments were aimed at the individual level and collected no sociometric or narrative-circulation data, so this rival cannot be nullified with the present evidence; it is acknowledged as a plausible systemic amplifier rather than argued away. Two points keep the concession orderly. First, the group reading is complementary, not displacing: the first interpretive consultation read the Stage-3 commitment gap through group dynamics (§6.8A), and a collective narrative still needs seed events - individual adverse verdicts of exactly the kind FIAS describes - to crystallise around. Second, the concession converts into a design requirement rather than a dead end: any intervention that reaches only the individual leaves the narrative layer intact, so the confirmatory programme should carry at least one group-level design response; §8.8 states one.</w:t>
      </w:r>
    </w:p>
    <w:p>
      <w:pPr>
        <w:pStyle w:val="Heading2"/>
      </w:pPr>
      <w:bookmarkStart w:id="146" w:name="_Toc232024634"/>
      <w:r>
        <w:rPr>
          <w:lang w:val="en-US" w:eastAsia="en-US" w:bidi="ar-SA"/>
          <w:color w:val="000000"/>
          <w:szCs w:val="22"/>
        </w:rPr>
        <w:t>8.7 Ethical Considerations</w:t>
      </w:r>
      <w:bookmarkEnd w:id="146"/>
    </w:p>
    <w:p>
      <w:pPr>
        <w:jc w:val="both"/>
      </w:pPr>
      <w:r>
        <w:t>One scope limitation is stated before all others: this study covers the assessment phase of an assess-then-train product model and does not evaluate the training phase. Four considerations govern the boundary. First, the assessment gate is the binding constraint: abandonment there forecloses training altogether, and the non-utilisation figures that motivate the programme arise at this gate. Second, the mechanism documented here - verdict-driven abandonment - applies with equal force to the training phase, which delivers progress verdicts of its own; the framework is designed for, and extensible to, the full loop. Third, a supervised training intervention with elderly participants demands clinical resources and a longitudinal window beyond this part-time doctorate's scope. Fourth, the extension is specified rather than abandoned: the confirmatory programme of s8.8 carries the framework into the training phase.</w:t>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Since this section was first drafted, the first element of the confirmatory programme has been designed and pre-registered: Stage 3B, a 2x2 field experiment crossing adaptive against static presentation with zero-failure against failure-possible modes, in a new cohort of 80-120 adults recruited in the same three age bands, with recorded in-build consent, a single pre-specified confirmatory contrast, and a trilingual instrument implementing the framework's calibration, trajectory and coaching elements. The design also brings into contact, for older adults in a health-technology context, two traditions the literature has kept apart: errorless learning, which holds that vulnerable learners acquire best when prevented from erring (Baddeley &amp; Wilson, 1994), and the graceful-failure position of game-based learning, which treats low-consequence failure as productive (Plass, Homer, &amp; Kinzer, 2015); dynamic difficulty adjustment supplies the adaptive arm's engineering lineage (Zohaib, 2018).</w:t>
      </w:r>
    </w:p>
    <w:p>
      <w:pPr>
        <w:jc w:val="both"/>
      </w:pPr>
      <w:r>
        <w:t>The build's score economy is itself a design argument, and its two generations record a deliberate progression rather than an oversight corrected. The deployed Stage-2 and Stage-3 builds kept scoring intentionally thin - distance plus coins - for two reasons: for largely non-gaming older players the score had to be legible at a single glance, and a rich scoring apparatus makes the score more salient exactly where the programme's evidence warns that salient evaluation drives withdrawal. Once the zero-failure and trajectory findings had matured, the Stage-3B build could afford motivational depth - but enriched the economy on the gain side only, borrowing the grammar of role-playing games, in which experience points never decrease: a clean-riding combo multiplier (x1 to x3) that an obstacle bump resets, skill-dodge bonuses for near misses, a collection rate shown in place of any missed-coin penalty, and a persistent experience total with skier levels that accumulates across a participant's sessions. A deduction-based alternative (for example minus 100 points per hit) was considered and rejected on the programme's own grounds: under loss aversion, subtracting visible points converts each bump into a quantified verdict, re-importing into the scoreboard the loss economy that zero-failure design (§2.6.2C, §5.3.10) exists to remove. In the final economy, failure costs future earning rate - the reset multiplier - but never confiscates banked points; the distinction between opportunity cost and confiscation is the same distinction the framework formalises between learning-trajectory and endowment-protective appraisals (§7.3), now expressed inside the scoreboard itself. The persistent level system serves the sessions-played co-primary outcome directly: it gives a reason to return that does not depend on beating one's own record, because every session adds experience regardless of performance. The scoring formula is identical in both arms and both failure modes - it is an instrument property, not an experimental factor - and was finalised, with the rejected alternative recorded, before any participant played (protocol Amendment A).</w:t>
      </w:r>
    </w:p>
    <w:p>
      <w:pPr>
        <w:jc w:val="both"/>
      </w:pPr>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jc w:val="both"/>
      </w:pPr>
      <w:r>
        <w:t>A further proposition addresses the group-level layer conceded in §8.6B. A group-level problem invites a group-form counter, and role-playing structures are the strongest candidate in the game-design repertoire: a role separates the player from the identity under threat, progress-for-attempting mechanics give every session value regardless of measured performance, and cooperative framing can turn social friction into social support. Three implementation constraints, each raised and weighed during review, immediately bound the idea. Older adults in the target settings are largely non-gamers, and conventional role-playing conventions - character sheets, quest logs, progression trees - carry exactly the kind of entry cost this thesis shows produces avoidance. Role-play is cognitively demanding, and the loads it imposes - role-keeping, rule-tracking, narrative memory - are the loads that rise in cost with age. And the clinical acts themselves - an assessment, a rehabilitation session - are irreducibly individual, so a group form cannot simply be imposed on practices that happen one person at a time.</w:t>
      </w:r>
    </w:p>
    <w:p>
      <w:pPr>
        <w:jc w:val="both"/>
      </w:pPr>
      <w:r>
        <w:t>The proposition that survives these constraints is AI-managed invisible role-play, under a design principle this programme's own artefacts already instantiate: high system intelligence, low user cognitive burden. In the deployed builds the player never saw the difficulty engine; the rule agent carried the adaptive machinery while the player simply played (§5.3.5, §8.9). The proposition extends the same asymmetry one level up: the system holds the role-play architecture - persona, narrative continuity, progress-for-attempting, cooperative framing - and the user experiences only simple, dignified play. The role itself becomes an adaptive variable: where a conventional game predefines roles and asks the player to conform, here the system continuously re-fits the role to the player's observed capacities and responses, the same move the framework already makes for challenge parameters, applied to narrative content. The individual nature of clinical acts is answered by decoupling the social layer from the clinical act - the act stays individual while membership is collective, through asynchronous contribution to shared goals or system-supplied companions - and two safety constraints are non-negotiable: individual clinical metrics are never socially visible (comparative displays would amplify the very narrative the design targets, so contribution is visible and performance is not), and the fiction must not be infantilising, since a persona that reads as childish would reproduce the identity threat in costume (§6.12).</w:t>
      </w:r>
    </w:p>
    <w:p>
      <w:pPr>
        <w:jc w:val="both"/>
      </w:pPr>
      <w:r>
        <w:t>The furthest reach of the proposition is stated last because it is the least established: role-mediated play as scaffolding for the person's own adaptive-learning capacity. A well-fitted role embodies the learning-trajectory appraisal - inside the fiction, every attempt earns progress and a setback is plot rather than verdict - so the player practises trajectory-thinking without being taught it, and the design aim is that the appraisal eventually transfers from character to self. This is a three-link hypothesis chain: that a system can fit roles to players is buildable and testable; that fitted roles improve engagement is testable with the methods of this programme; that role-mediated practice transfers to the person's own appraisal habits is the hard link, a rate-and-transfer claim for which this thesis offers no evidence and which would require its own instruments - shifts in how participants speak about their own setbacks, appraisal measures taken outside the game, and behaviour observed after the fiction is withdrawn. The scaffold must also fade: the role begins as a shield, protecting identity by not being the self, and succeeds only if it ends as a bridge back to the self - how that hand-off is designed is a research question in its own right. The proposition is the natural continuation of the person-conditioned adaptation programme of §9.8B, and it preserves this thesis's calibration of the artificial-intelligence role: the system does not replace the human capacity it targets; it scaffolds it.</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t>9.2A The Programme Diary: How the Knowledge Evolved and What Was Nullified</w:t>
      </w:r>
    </w:p>
    <w:p>
      <w:pPr>
        <w:jc w:val="both"/>
      </w:pPr>
      <w:r>
        <w:t>The three-stage narrative above can also be read as a diary. Table 9.1 sets the programme's evidence activities in strict calendar order and records, for each entry, the knowledge position the author held going in, what the activity produced, and what was revised or nullified as a result. The table is deliberately retrospective: each chapter of this thesis reports only what existed at that point in the journey (Table 3.1A gives the activity calendar without findings), so this is the first place the full evolution can be stated in one view. The discipline the diary makes visible is that the programme advanced by nullification as much as by confirmation - the simple non-exposure account, the competence account, the dispositional account, and the assumption that artificial intelligence was critical rather than enabling were each held, tested and given up in turn.</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trPr>
        <w:tc>
          <w:tcPr>
            <w:tcW w:type="dxa" w:w="1575"/>
          </w:tcPr>
          <w:p>
            <w:r>
              <w:rPr>
                <w:b/>
              </w:rPr>
              <w:t>Period</w:t>
            </w:r>
          </w:p>
        </w:tc>
        <w:tc>
          <w:tcPr>
            <w:tcW w:type="dxa" w:w="2384"/>
          </w:tcPr>
          <w:p>
            <w:r>
              <w:rPr>
                <w:b/>
              </w:rPr>
              <w:t>Activity</w:t>
            </w:r>
          </w:p>
        </w:tc>
        <w:tc>
          <w:tcPr>
            <w:tcW w:type="dxa" w:w="2460"/>
          </w:tcPr>
          <w:p>
            <w:r>
              <w:rPr>
                <w:b/>
              </w:rPr>
              <w:t>Knowledge position going in</w:t>
            </w:r>
          </w:p>
        </w:tc>
        <w:tc>
          <w:tcPr>
            <w:tcW w:type="dxa" w:w="3422"/>
          </w:tcPr>
          <w:p>
            <w:r>
              <w:rPr>
                <w:b/>
              </w:rPr>
              <w:t>What the activity produced</w:t>
            </w:r>
          </w:p>
        </w:tc>
        <w:tc>
          <w:tcPr>
            <w:tcW w:type="dxa" w:w="3596"/>
          </w:tcPr>
          <w:p>
            <w:r>
              <w:rPr>
                <w:b/>
              </w:rPr>
              <w:t>What was revised or nullified</w:t>
            </w:r>
          </w:p>
        </w:tc>
      </w:tr>
      <w:t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Simple non-exposure account nullified: non-return was driven by prior users, not by residents who had never encountered the device</w:t>
            </w:r>
          </w:p>
        </w:tc>
      </w:tr>
      <w:tr>
        <w:tc>
          <w:tcPr>
            <w:tcW w:type="dxa" w:w="1575"/>
          </w:tcPr>
          <w:p>
            <w:r/>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AI-assisted skiing game as the programme's instrument</w:t>
            </w:r>
          </w:p>
        </w:tc>
        <w:tc>
          <w:tcPr>
            <w:tcW w:type="dxa" w:w="3596"/>
          </w:tcPr>
          <w:p>
            <w:r>
              <w:t>-</w:t>
            </w:r>
          </w:p>
        </w:tc>
      </w:tr>
      <w:tr>
        <w:tc>
          <w:tcPr>
            <w:tcW w:type="dxa" w:w="1575"/>
          </w:tcPr>
          <w:p>
            <w:r>
              <w:rPr>
                <w:highlight w:val="yellow"/>
              </w:rPr>
              <w:t>[AUTHOR INPUT NEEDED: exact dates]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the objective-score-improvement/non-return paradox</w:t>
            </w:r>
          </w:p>
        </w:tc>
        <w:tc>
          <w:tcPr>
            <w:tcW w:type="dxa" w:w="3596"/>
          </w:tcPr>
          <w:p>
            <w:r>
              <w:t>Competence account nullified (scores improved yet players did not return); FIDS alone could no longer carry the account - the transition to FIAS, specified in Chapter 5, is the pivotal move of the research journey</w:t>
            </w:r>
          </w:p>
        </w:tc>
      </w:tr>
      <w:tr>
        <w:tc>
          <w:tcPr>
            <w:tcW w:type="dxa" w:w="1575"/>
          </w:tcPr>
          <w:p>
            <w:r>
              <w:t>March-April 2026</w:t>
            </w:r>
          </w:p>
        </w:tc>
        <w:tc>
          <w:tcPr>
            <w:tcW w:type="dxa" w:w="2384"/>
          </w:tcPr>
          <w:p>
            <w:r>
              <w:t>Stage 3 remote decoupled deployment (register N=120)</w:t>
            </w:r>
          </w:p>
        </w:tc>
        <w:tc>
          <w:tcPr>
            <w:tcW w:type="dxa" w:w="2460"/>
          </w:tcPr>
          <w:p>
            <w:r>
              <w:t>FIAS as the candidate account; frame-sensitive and dispositional readings as rivals</w:t>
            </w:r>
          </w:p>
        </w:tc>
        <w:tc>
          <w:tcPr>
            <w:tcW w:type="dxa" w:w="3422"/>
          </w:tcPr>
          <w:p>
            <w:r>
              <w:t>A substantial behavioural shift once the assessment frame was removed; the commitment gap</w:t>
            </w:r>
          </w:p>
        </w:tc>
        <w:tc>
          <w:tcPr>
            <w:tcW w:type="dxa" w:w="3596"/>
          </w:tcPr>
          <w:p>
            <w:r>
              <w:t>The dispositional account (H0) could not accommodate the between-cohort shift; frame-sensitivity retained as the calibrated reading</w:t>
            </w:r>
          </w:p>
        </w:tc>
      </w:tr>
      <w:t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Clinical corroboration of the abandonment window, verdict attribution and reward economics; the build judged suitable for FRA practice</w:t>
            </w:r>
          </w:p>
        </w:tc>
        <w:tc>
          <w:tcPr>
            <w:tcW w:type="dxa" w:w="3596"/>
          </w:tcPr>
          <w:p>
            <w:r>
              <w:t>Technology-difficulty as the primary barrier was challenged from practice; coaching-at-scale was revised on cost grounds (social cost and therapist scarcity)</w:t>
            </w:r>
          </w:p>
        </w:tc>
      </w:tr>
      <w:tr>
        <w:tc>
          <w:tcPr>
            <w:tcW w:type="dxa" w:w="1575"/>
          </w:tcPr>
          <w:p>
            <w:r>
              <w:t>August 2026</w:t>
            </w:r>
          </w:p>
        </w:tc>
        <w:tc>
          <w:tcPr>
            <w:tcW w:type="dxa" w:w="2384"/>
          </w:tcPr>
          <w:p>
            <w:r>
              <w:t>Ethics approval HSEARS20260805008</w:t>
            </w:r>
          </w:p>
        </w:tc>
        <w:tc>
          <w:tcPr>
            <w:tcW w:type="dxa" w:w="2460"/>
          </w:tcPr>
          <w:p>
            <w:r>
              <w:t>-</w:t>
            </w:r>
          </w:p>
        </w:tc>
        <w:tc>
          <w:tcPr>
            <w:tcW w:type="dxa" w:w="3422"/>
          </w:tcPr>
          <w:p>
            <w:r>
              <w:t>Formal approval covering the programme as conducted and the forward stage</w:t>
            </w:r>
          </w:p>
        </w:tc>
        <w:tc>
          <w:tcPr>
            <w:tcW w:type="dxa" w:w="3596"/>
          </w:tcPr>
          <w:p>
            <w:r>
              <w:t>-</w:t>
            </w:r>
          </w:p>
        </w:tc>
      </w:tr>
      <w:tr>
        <w:tc>
          <w:tcPr>
            <w:tcW w:type="dxa" w:w="1575"/>
          </w:tcPr>
          <w:p>
            <w:r>
              <w:rPr>
                <w:highlight w:val="yellow"/>
              </w:rPr>
              <w:t>August-October 2026 [AUTHOR INPUT NEEDED: window dates]</w:t>
            </w:r>
          </w:p>
        </w:tc>
        <w:tc>
          <w:tcPr>
            <w:tcW w:type="dxa" w:w="2384"/>
          </w:tcPr>
          <w:p>
            <w:r>
              <w:t>Stage 3B pre-registered 2x2 field experiment</w:t>
            </w:r>
          </w:p>
        </w:tc>
        <w:tc>
          <w:tcPr>
            <w:tcW w:type="dxa" w:w="2460"/>
          </w:tcPr>
          <w:p>
            <w:r>
              <w:t>The adaptive-learning framework; the errorless-versus-graceful-failure question open</w:t>
            </w:r>
          </w:p>
        </w:tc>
        <w:tc>
          <w:tcPr>
            <w:tcW w:type="dxa" w:w="3422"/>
          </w:tcPr>
          <w:p>
            <w:r>
              <w:rPr>
                <w:highlight w:val="yellow"/>
              </w:rPr>
              <w:t>[TO BE REPORTED when the Stage 3B window closes]</w:t>
            </w:r>
          </w:p>
        </w:tc>
        <w:tc>
          <w:tcPr>
            <w:tcW w:type="dxa" w:w="3596"/>
          </w:tcPr>
          <w:p>
            <w:r>
              <w:rPr>
                <w:highlight w:val="yellow"/>
              </w:rPr>
              <w:t>[OPEN - H-3B under test; the design allows the adaptive-arm advantage itself to be nullified]</w:t>
            </w:r>
          </w:p>
        </w:tc>
      </w:tr>
      <w:tr>
        <w:tc>
          <w:tcPr>
            <w:tcW w:type="dxa" w:w="1575"/>
          </w:tcPr>
          <w:p>
            <w:r>
              <w:t>October 2026</w:t>
            </w:r>
          </w:p>
        </w:tc>
        <w:tc>
          <w:tcPr>
            <w:tcW w:type="dxa" w:w="2384"/>
          </w:tcPr>
          <w:p>
            <w:r>
              <w:t>Programme close and thesis completion</w:t>
            </w:r>
          </w:p>
        </w:tc>
        <w:tc>
          <w:tcPr>
            <w:tcW w:type="dxa" w:w="2460"/>
          </w:tcPr>
          <w:p>
            <w:r>
              <w:t>-</w:t>
            </w:r>
          </w:p>
        </w:tc>
        <w:tc>
          <w:tcPr>
            <w:tcW w:type="dxa" w:w="3422"/>
          </w:tcPr>
          <w:p>
            <w:r>
              <w:t>The calibrated evidential chain: observed, interpreted, demonstrated in part, hypothesised</w:t>
            </w:r>
          </w:p>
        </w:tc>
        <w:tc>
          <w:tcPr>
            <w:tcW w:type="dxa" w:w="3596"/>
          </w:tcPr>
          <w:p>
            <w:r>
              <w:t>Artificial intelligence recalibrated from critical to enabling - the deterministic rule agent sufficed for in-run adaptation</w:t>
            </w:r>
          </w:p>
        </w:tc>
      </w:tr>
    </w:tbl>
    <w:p>
      <w:pPr>
        <w:pStyle w:val="FigureCaption"/>
        <w:jc w:val="center"/>
      </w:pPr>
      <w:r>
        <w:t>Table 9.1. The programme diary: knowledge evolution in calendar order, 2023 - October 2026. Yellow cells await author input or the close of the Stage 3B window.</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candidate boundary condition, motivated by a non-equivalent-cohort comparison: gamification theory appears to hold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jc w:val="both"/>
      </w:pPr>
      <w:r>
        <w:t>The finding's shortest statement is this: the threat lives in the artefact - in the verdict a clinical station stands ready to deliver - while the abandonment is its observable shadow; and the mechanism connecting the two is the participant's own loss-averse appraisal and collapsed self-efficacy, not the FRA's difficulty and not the game's design.</w:t>
      </w:r>
    </w:p>
    <w:p>
      <w:pPr>
        <w:pStyle w:val="Heading2"/>
      </w:pPr>
      <w:r>
        <w:t>9.3A The Chain of Effects: The Argument in Logical Order</w:t>
      </w:r>
    </w:p>
    <w:p>
      <w:pPr>
        <w:jc w:val="both"/>
      </w:pPr>
      <w:r>
        <w:t xml:space="preserve">The programme can now be read three ways: in calendar order (Table 3.1A), as a diary of what was learned and given up (Table 9.1), and - here - as a chain of effects, the argument in logical order. Table 9.3 states each link, its principal evidence, and its evidential status in the vocabulary this thesis has used throughout: observed, answered against rivals, interpreted, designed, under test, conceded. Two provenance rules govern the chain. Construct names appear at the link where the journey produced them - the self-efficacy reading of dropout belongs to the early conjecture, and FIAS was named only after Stage 2. And the Stage-1 never-users are deliberately not classified under FIAS: they had no failure experience to appraise. Stage 1 concerned the un-gamified FRA as then operated - a therapist-supported station whose demanding assessment protocol deterred participation, and whose adverse verdict carried practical consequences: prescribed balance training, and a recommendation against walking alone and freely. Fear of the verdict therefore had teeth before any game existed. The stance that later crystallised in the Stage-2 deployment's qualitative record - summarised in composite paraphrase as 'the game is fun, gamification is beneficial, the FRA is a good tool - but I do not want it telling me where my health problems are' - dates the verdict-fear motif to participants who had played the game and liked it: the feared object was the verdict, never the gameplay. </w:t>
      </w:r>
      <w:r>
        <w:rPr>
          <w:highlight w:val="yellow"/>
        </w:rPr>
        <w:t>[AUTHOR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trPr>
        <w:tc>
          <w:tcPr>
            <w:tcW w:w="661" w:type="dxa"/>
          </w:tcPr>
          <w:p>
            <w:r>
              <w:rPr>
                <w:b/>
              </w:rPr>
              <w:t>Link</w:t>
            </w:r>
          </w:p>
        </w:tc>
        <w:tc>
          <w:tcPr>
            <w:tcW w:w="3024" w:type="dxa"/>
          </w:tcPr>
          <w:p>
            <w:r>
              <w:rPr>
                <w:b/>
              </w:rPr>
              <w:t>Effect / claim</w:t>
            </w:r>
          </w:p>
        </w:tc>
        <w:tc>
          <w:tcPr>
            <w:tcW w:w="3024" w:type="dxa"/>
          </w:tcPr>
          <w:p>
            <w:r>
              <w:rPr>
                <w:b/>
              </w:rPr>
              <w:t>Principal evidence</w:t>
            </w:r>
          </w:p>
        </w:tc>
        <w:tc>
          <w:tcPr>
            <w:tcW w:w="1796" w:type="dxa"/>
          </w:tcPr>
          <w:p>
            <w:r>
              <w:rPr>
                <w:b/>
              </w:rPr>
              <w:t>Status</w:t>
            </w:r>
          </w:p>
        </w:tc>
      </w:tr>
      <w:tr>
        <w:tc>
          <w:tcPr>
            <w:tcW w:w="661" w:type="dxa"/>
          </w:tcPr>
          <w:p>
            <w:r>
              <w:t>1</w:t>
            </w:r>
          </w:p>
        </w:tc>
        <w:tc>
          <w:tcPr>
            <w:tcW w:w="3024" w:type="dxa"/>
          </w:tcPr>
          <w:p>
            <w:r>
              <w:t>Clinically valuable FRA stations fall silent despite acknowledged benefit</w:t>
            </w:r>
          </w:p>
        </w:tc>
        <w:tc>
          <w:tcPr>
            <w:tcW w:w="3024" w:type="dxa"/>
          </w:tcPr>
          <w:p>
            <w:r>
              <w:t>Site observation, 2023; Stage-1 utilisation record (Chapter 4)</w:t>
            </w:r>
          </w:p>
        </w:tc>
        <w:tc>
          <w:tcPr>
            <w:tcW w:w="1796" w:type="dxa"/>
          </w:tcPr>
          <w:p>
            <w:r>
              <w:t>Observed</w:t>
            </w:r>
          </w:p>
        </w:tc>
      </w:tr>
      <w:tr>
        <w:tc>
          <w:tcPr>
            <w:tcW w:w="661" w:type="dxa"/>
          </w:tcPr>
          <w:p>
            <w:r>
              <w:t>2</w:t>
            </w:r>
          </w:p>
        </w:tc>
        <w:tc>
          <w:tcPr>
            <w:tcW w:w="3024" w:type="dxa"/>
          </w:tcPr>
          <w:p>
            <w:r/>
            <w:r>
              <w:t>On the un-gamified, therapist-supported FRA: non-return concentrates among prior users with an adverse first experience; participation deterred by the demanding assessment and by the verdict's consequences (prescribed training, restricted independent walking)</w:t>
            </w:r>
          </w:p>
        </w:tc>
        <w:tc>
          <w:tcPr>
            <w:tcW w:w="3024" w:type="dxa"/>
          </w:tcPr>
          <w:p>
            <w:r/>
            <w:r>
              <w:t>Stage-1 survey, N=200, plus facility operating practice (Chapter 4)</w:t>
            </w:r>
          </w:p>
        </w:tc>
        <w:tc>
          <w:tcPr>
            <w:tcW w:w="1796" w:type="dxa"/>
          </w:tcPr>
          <w:p>
            <w:r>
              <w:t>Observed; self-efficacy (FIDS) reading conjectured</w:t>
            </w:r>
          </w:p>
        </w:tc>
      </w:tr>
      <w:tr>
        <w:tc>
          <w:tcPr>
            <w:tcW w:w="661" w:type="dxa"/>
          </w:tcPr>
          <w:p>
            <w:r>
              <w:t>3</w:t>
            </w:r>
          </w:p>
        </w:tc>
        <w:tc>
          <w:tcPr>
            <w:tcW w:w="3024" w:type="dxa"/>
          </w:tcPr>
          <w:p>
            <w:r>
              <w:t>An acceptance-compliant, gamified FRA is still abandoned</w:t>
            </w:r>
          </w:p>
        </w:tc>
        <w:tc>
          <w:tcPr>
            <w:tcW w:w="3024" w:type="dxa"/>
          </w:tcPr>
          <w:p>
            <w:r>
              <w:t>Stage 2: 70% disengaged at &lt;=3 cycles; 0/21 re-engagement (Chapter 5)</w:t>
            </w:r>
          </w:p>
        </w:tc>
        <w:tc>
          <w:tcPr>
            <w:tcW w:w="1796" w:type="dxa"/>
          </w:tcPr>
          <w:p>
            <w:r>
              <w:t>Observed</w:t>
            </w:r>
          </w:p>
        </w:tc>
      </w:tr>
      <w:tr>
        <w:tc>
          <w:tcPr>
            <w:tcW w:w="661" w:type="dxa"/>
          </w:tcPr>
          <w:p>
            <w:r>
              <w:t>4</w:t>
            </w:r>
          </w:p>
        </w:tc>
        <w:tc>
          <w:tcPr>
            <w:tcW w:w="3024" w:type="dxa"/>
          </w:tcPr>
          <w:p>
            <w:r>
              <w:t>Difficulty and competence cannot carry the account</w:t>
            </w:r>
          </w:p>
        </w:tc>
        <w:tc>
          <w:tcPr>
            <w:tcW w:w="3024" w:type="dxa"/>
          </w:tcPr>
          <w:p>
            <w:r>
              <w:t>Score-improvement/non-return paradox (§5.6); satisfaction among sustainers; attrition rival answered (§8.5.9)</w:t>
            </w:r>
          </w:p>
        </w:tc>
        <w:tc>
          <w:tcPr>
            <w:tcW w:w="1796" w:type="dxa"/>
          </w:tcPr>
          <w:p>
            <w:r/>
            <w:r>
              <w:t>Answered within-cohort; residual attrition not excluded (§8.5.9)</w:t>
            </w:r>
          </w:p>
        </w:tc>
      </w:tr>
      <w:tr>
        <w:tc>
          <w:tcPr>
            <w:tcW w:w="661" w:type="dxa"/>
          </w:tcPr>
          <w:p>
            <w:r>
              <w:t>5</w:t>
            </w:r>
          </w:p>
        </w:tc>
        <w:tc>
          <w:tcPr>
            <w:tcW w:w="3024" w:type="dxa"/>
          </w:tcPr>
          <w:p>
            <w:r>
              <w:t>Self-efficacy explains the dropout moment but not its permanence</w:t>
            </w:r>
          </w:p>
        </w:tc>
        <w:tc>
          <w:tcPr>
            <w:tcW w:w="3024" w:type="dxa"/>
          </w:tcPr>
          <w:p>
            <w:r>
              <w:t>§2.4.4; Stage-2 pattern of absolute, non-returning exits</w:t>
            </w:r>
          </w:p>
        </w:tc>
        <w:tc>
          <w:tcPr>
            <w:tcW w:w="1796" w:type="dxa"/>
          </w:tcPr>
          <w:p>
            <w:r>
              <w:t>Partial - first diagnostic layer</w:t>
            </w:r>
          </w:p>
        </w:tc>
      </w:tr>
      <w:tr>
        <w:tc>
          <w:tcPr>
            <w:tcW w:w="661" w:type="dxa"/>
          </w:tcPr>
          <w:p>
            <w:r>
              <w:t>6</w:t>
            </w:r>
          </w:p>
        </w:tc>
        <w:tc>
          <w:tcPr>
            <w:tcW w:w="3024" w:type="dxa"/>
          </w:tcPr>
          <w:p>
            <w:r>
              <w:t>Loss aversion on an identity-level asset makes retry a gamble on unwelcome bodily evidence; FIAS named</w:t>
            </w:r>
          </w:p>
        </w:tc>
        <w:tc>
          <w:tcPr>
            <w:tcW w:w="3024" w:type="dxa"/>
          </w:tcPr>
          <w:p>
            <w:r>
              <w:t>§5.6–5.7 appraisal account; expert corroboration (§6.12, Appendix H)</w:t>
            </w:r>
          </w:p>
        </w:tc>
        <w:tc>
          <w:tcPr>
            <w:tcW w:w="1796" w:type="dxa"/>
          </w:tcPr>
          <w:p>
            <w:r>
              <w:t>Interpreted (construct, post-Stage-2)</w:t>
            </w:r>
          </w:p>
        </w:tc>
      </w:tr>
      <w:tr>
        <w:tc>
          <w:tcPr>
            <w:tcW w:w="661" w:type="dxa"/>
          </w:tcPr>
          <w:p>
            <w:r>
              <w:t>7</w:t>
            </w:r>
          </w:p>
        </w:tc>
        <w:tc>
          <w:tcPr>
            <w:tcW w:w="3024" w:type="dxa"/>
          </w:tcPr>
          <w:p>
            <w:r>
              <w:t>The same mechanics without the clinical attachment are accepted and returned to</w:t>
            </w:r>
          </w:p>
        </w:tc>
        <w:tc>
          <w:tcPr>
            <w:tcW w:w="3024" w:type="dxa"/>
          </w:tcPr>
          <w:p>
            <w:r>
              <w:t>Stage 3: 85.4% in-session retention (65-80); return restored (Chapter 6)</w:t>
            </w:r>
          </w:p>
        </w:tc>
        <w:tc>
          <w:tcPr>
            <w:tcW w:w="1796" w:type="dxa"/>
          </w:tcPr>
          <w:p>
            <w:r/>
            <w:r>
              <w:t>Observed; consistent with design not being the driver (§6.7 calibration)</w:t>
            </w:r>
          </w:p>
        </w:tc>
      </w:tr>
      <w:tr>
        <w:tc>
          <w:tcPr>
            <w:tcW w:w="661" w:type="dxa"/>
          </w:tcPr>
          <w:p>
            <w:r>
              <w:t>8</w:t>
            </w:r>
          </w:p>
        </w:tc>
        <w:tc>
          <w:tcPr>
            <w:tcW w:w="3024" w:type="dxa"/>
          </w:tcPr>
          <w:p>
            <w:r>
              <w:t>A boundary condition for gamification theory: the theory holds until the game is attached to an identity-relevant clinical verdict</w:t>
            </w:r>
          </w:p>
        </w:tc>
        <w:tc>
          <w:tcPr>
            <w:tcW w:w="3024" w:type="dxa"/>
          </w:tcPr>
          <w:p>
            <w:r>
              <w:t>Stages 2-3 jointly (§8.1)</w:t>
            </w:r>
          </w:p>
        </w:tc>
        <w:tc>
          <w:tcPr>
            <w:tcW w:w="1796" w:type="dxa"/>
          </w:tcPr>
          <w:p>
            <w:r>
              <w:t>Interpreted - scope finding</w:t>
            </w:r>
          </w:p>
        </w:tc>
      </w:tr>
      <w:tr>
        <w:tc>
          <w:tcPr>
            <w:tcW w:w="661" w:type="dxa"/>
          </w:tcPr>
          <w:p>
            <w:r>
              <w:t>9</w:t>
            </w:r>
          </w:p>
        </w:tc>
        <w:tc>
          <w:tcPr>
            <w:tcW w:w="3024" w:type="dxa"/>
          </w:tcPr>
          <w:p>
            <w:r>
              <w:t>Adaptive learning with zero-failure presentation as the design counter</w:t>
            </w:r>
          </w:p>
        </w:tc>
        <w:tc>
          <w:tcPr>
            <w:tcW w:w="3024" w:type="dxa"/>
          </w:tcPr>
          <w:p>
            <w:r>
              <w:t>Framework (Chapter 7); Stage 3B pre-registered 2x2 (§8.8)</w:t>
            </w:r>
          </w:p>
        </w:tc>
        <w:tc>
          <w:tcPr>
            <w:tcW w:w="1796" w:type="dxa"/>
          </w:tcPr>
          <w:p>
            <w:r>
              <w:t>Designed; under test</w:t>
            </w:r>
          </w:p>
        </w:tc>
      </w:tr>
      <w:tr>
        <w:tc>
          <w:tcPr>
            <w:tcW w:w="661" w:type="dxa"/>
          </w:tcPr>
          <w:p>
            <w:r>
              <w:t>10</w:t>
            </w:r>
          </w:p>
        </w:tc>
        <w:tc>
          <w:tcPr>
            <w:tcW w:w="3024" w:type="dxa"/>
          </w:tcPr>
          <w:p>
            <w:r>
              <w:t>Habit formation, appraisal transfer, and the group-narrative layer</w:t>
            </w:r>
          </w:p>
        </w:tc>
        <w:tc>
          <w:tcPr>
            <w:tcW w:w="3024" w:type="dxa"/>
          </w:tcPr>
          <w:p>
            <w:r>
              <w:t>§8.6B concession; §8.8 propositions; §9.8B</w:t>
            </w:r>
          </w:p>
        </w:tc>
        <w:tc>
          <w:tcPr>
            <w:tcW w:w="1796" w:type="dxa"/>
          </w:tcPr>
          <w:p>
            <w:r>
              <w:t>Hypothesised / conceded</w:t>
            </w:r>
          </w:p>
        </w:tc>
      </w:tr>
    </w:tbl>
    <w:p>
      <w:pPr>
        <w:pStyle w:val="FigureCaption"/>
      </w:pPr>
      <w:r>
        <w:t>Table 9.3. The chain of effects: each link of the argument, its principal evidence, and its evidential status. Constructs are dated to the link where the journey produced them.</w:t>
      </w:r>
    </w:p>
    <w:p>
      <w:pPr>
        <w:pStyle w:val="Heading2"/>
      </w:pPr>
      <w:bookmarkStart w:id="157" w:name="_Toc232024646"/>
      <w:r>
        <w:rPr>
          <w:lang w:val="en-US" w:eastAsia="en-US" w:bidi="ar-SA"/>
          <w:color w:val="00000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decoupling comparison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color w:val="00000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color w:val="00000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is supported for older adults, where the demonstrations did not transfer, and the proposed reason.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jc w:val="both"/>
      </w:pPr>
      <w:r>
        <w:t>The role-adaptive proposition of §8.8 is the fullest expression of this extension: person-conditioned adaptation applied not only to challenge parameters but to the narrative role itself, with the design aim that what ultimately develops is not the system's model of the person but the person's own adaptive-learning capacity.</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trPr>
        <w:tc>
          <w:tcPr>
            <w:tcW w:w="1748" w:type="dxa"/>
          </w:tcPr>
          <w:p>
            <w:pPr>
              <w:pStyle w:val="Normal"/>
            </w:pPr>
            <w:r>
              <w:rPr>
                <w:b/>
                <w:sz w:val="24"/>
                <w:szCs w:val="22"/>
                <w:lang w:val="en-US" w:eastAsia="en-US" w:bidi="ar-SA"/>
                <w:rFonts w:ascii="Times New Roman" w:hAnsi="Times New Roman" w:eastAsia="Times New Roman" w:cs="Times New Roman"/>
              </w:rPr>
              <w:t>Dimension</w:t>
            </w:r>
          </w:p>
        </w:tc>
        <w:tc>
          <w:tcPr>
            <w:tcW w:w="3229"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528"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decoupling comparison, is consistent with the theories holding for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programme's synthesis can now be stated with each claim at its evidential strength. It observed failure-induced disengagement (Stages 1 and 2). It interprets the escalation into abandonment as verdict-driven - an interpretation corroborated in clinical practice. It demonstrated that removing the clinical frame restores acceptance (Stage 3), with the isolation of the zero-failure element assigned to the pre-registered Stage 3B. It hypothesises - supported by the learning literature and by behavioural precursors within the study windows - that sustained, adaptively calibrated, failure-protected practice is the pathway by which measurement-bearing technology becomes a learning tool older adults live with. And it proposes the adaptive-learning framework as the design discipline for that pathway, with AI as the enabling technology that makes calibration individual and scalable - enabling, not essential: the deployed system ran on a deterministic agent, and what AI adds is reach, language and personalisation at population scale. Habit itself, and the framework's mechanism-level claims, are assigned to the longitudinal programme of s8.8. The thesis claims what its evidence supports, specifies what would test the rest, and provides the instrument to do it.</w:t>
      </w:r>
    </w:p>
    <w:p>
      <w:pPr>
        <w:pStyle w:val="Heading1"/>
        <w:pageBreakBefore/>
      </w:pPr>
      <w:r>
        <w:rPr>
          <w:lang w:val="en-US" w:eastAsia="en-US" w:bidi="ar-SA"/>
          <w:color w:val="000000"/>
          <w:szCs w:val="28"/>
        </w:rPr>
        <w:t>References</w:t>
      </w:r>
      <w:bookmarkEnd w:id="166"/>
    </w:p>
    <w:p>
      <w:pPr>
        <w:pStyle w:val="Normal"/>
        <w:jc w:val="both"/>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jc w:val="both"/>
      </w:pPr>
      <w:r>
        <w:t>Baddeley, A., &amp; Wilson, B. A. (1994). When implicit learning fails: Amnesia and the problem of error elimination. Neuropsychologia, 32(1), 53-68.</w:t>
      </w:r>
    </w:p>
    <w:p>
      <w:pPr>
        <w:jc w:val="both"/>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r>
        <w:t>Bhattacherjee, A. (2001). Understanding information systems continuance: An expectation-confirmation model. MIS Quarterly, 25(3), 351-370. https://doi.org/10.2307/3250921</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jc w:val="both"/>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jc w:val="both"/>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jc w:val="both"/>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jc w:val="both"/>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jc w:val="both"/>
      </w:pPr>
      <w:r>
        <w:t>Lazar, A., Koehler, C., Tanenbaum, J., &amp; Nguyen, D. H. (2015). Why we use and abandon smart devices. In Proceedings of the 2015 ACM International Joint Conference on Pervasive and Ubiquitous Computing (UbiComp '15) (pp. 635-646). ACM. https://doi.org/10.1145/2750858.2804288</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jc w:val="both"/>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jc w:val="both"/>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jc w:val="both"/>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jc w:val="both"/>
      </w:pPr>
      <w:r>
        <w:t>Perissinotto, C., Zhang, C., Oseau, T., Balik, D., Sou, C., Burnight, C., &amp; Burnight, K. (2019). Feasibility of a tablet designed for older adults to facilitate telemedicine visits [Conference abstract]. Innovation in Aging, 3(Suppl. 1), S975. https://doi.org/10.1093/geroni/igz038.3534</w:t>
      </w:r>
    </w:p>
    <w:p>
      <w:pPr>
        <w:jc w:val="both"/>
      </w:pPr>
      <w:r>
        <w:t>Phillips, B., &amp; Zhao, H. (1993). Predictors of assistive technology abandonment. Assistive Technology, 5(1), 36-45. https://doi.org/10.1080/10400435.1993.10132205</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jc w:val="both"/>
      </w:pPr>
      <w:r>
        <w:t>Plass, J. L., Homer, B. D., &amp; Kinzer, C. K. (2015). Foundations of game-based learning. Educational Psychologist, 50(4), 258-283.</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jc w:val="both"/>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jc w:val="both"/>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jc w:val="both"/>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trPr>
        <w:tc>
          <w:tcPr>
            <w:tcW w:w="1989" w:type="dxa"/>
          </w:tcPr>
          <w:p>
            <w:pPr>
              <w:pStyle w:val="Normal"/>
            </w:pPr>
            <w:r>
              <w:rPr>
                <w:b/>
                <w:sz w:val="24"/>
                <w:szCs w:val="22"/>
                <w:lang w:val="en-US" w:eastAsia="en-US" w:bidi="ar-SA"/>
                <w:rFonts w:ascii="Times New Roman" w:hAnsi="Times New Roman" w:eastAsia="Times New Roman" w:cs="Times New Roman"/>
              </w:rPr>
              <w:t>Construct</w:t>
            </w:r>
          </w:p>
        </w:tc>
        <w:tc>
          <w:tcPr>
            <w:tcW w:w="6516"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1989"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pPr>
        <w:jc w:val="both"/>
      </w:pPr>
      <w:r>
        <w:t xml:space="preserve">G.0A Build-lineage matrix. </w:t>
      </w:r>
      <w:r>
        <w:rPr>
          <w:highlight w:val="yellow"/>
        </w:rPr>
        <w:t>[AUTHOR INPUT NEEDED: one version-controlled row per build generation - 2024 control demonstration, deployed Stage-2 build, Stage-3 HTML port, v2.x successor builds, v3.x Stage-3B fleet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w:t>
      </w:r>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Photographs of the Guangzhou Stage-2 deployment (consented).</w:t>
      </w:r>
    </w:p>
    <w:p>
      <w:pPr>
        <w:jc w:val="both"/>
      </w:pPr>
      <w:r>
        <w:t>G.5  The Stage-3 distribution and return e-mail record (de-identified index of dates, channels and returned files).</w:t>
      </w:r>
    </w:p>
    <w:p>
      <w:pPr>
        <w:jc w:val="both"/>
      </w:pPr>
      <w:r>
        <w:t>G.6  Screenshots of the skiing game at each difficulty level (1–5).</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V37 REVIEW COPY: panel integration (3.2, Ch8, H.6-H.8), assess-vs-train scoping (Ch4, 8.7), Stage 3B + learning-traditions positioning (8.8), Ch9 synthesis, family-channel correction, 3 refs, yellow author-input marks + front checklist.</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