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Reported retention was 93.3%, with 15 of 23 initial dropouts returning voluntarily.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Claim</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(March–August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Operational)</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The deployed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Observed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evidence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keepNext w:val="0"/>
        <w:keepLines w:val="0"/>
        <w:spacing w:after="0" w:before="0" w:line="20" w:lineRule="exact"/>
        <w:rPr>
          <w:sz w:val="2"/>
        </w:rPr>
      </w:pPr>
    </w:p>
    <w:p>
      <w:pPr>
        <w:pStyle w:val="Normal"/>
        <w:keepNext w:val="0"/>
        <w:keepLines w:val="0"/>
        <w:spacing w:after="0" w:before="0" w:line="20" w:lineRule="exact"/>
        <w:sectPr w:rsidR="0062437E">
          <w:footerReference w:type="default" r:id="rId8"/>
          <w:pgSz w:w="11906" w:h="16838"/>
          <w:pgMar w:top="1417" w:right="1417" w:bottom="1417" w:left="1984" w:header="720" w:footer="720" w:gutter="0"/>
          <w:pgNumType w:fmt="lowerRoman" w:start="1"/>
          <w:cols w:space="720"/>
          <w:titlePg/>
          <w:docGrid w:linePitch="360"/>
        </w:sectPr>
        <w:rPr>
          <w:sz w:val="2"/>
        </w:r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highlight w:val="yellow"/>
        </w:rPr>
      </w:r>
      <w:r/>
      <w:r>
        <w:rPr>
          <w:highlight w:val="yellow"/>
        </w:rPr>
      </w:r>
      <w:r/>
      <w:r>
        <w:rPr>
          <w:highlight w:val="yellow"/>
        </w:rPr>
      </w:r>
      <w:r/>
      <w:r>
        <w:rPr>
          <w:highlight w:val="yellow"/>
        </w:rPr>
      </w:r>
      <w:r/>
      <w:r>
        <w:rPr>
          <w:highlight w:val="yellow"/>
        </w:rPr>
        <w:t>[AUTHOR INPUT NEEDED: exact installation year]</w:t>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highlight w:val="yellow"/>
        </w:rPr>
      </w:r>
      <w:r/>
      <w:r>
        <w:rPr>
          <w:highlight w:val="yellow"/>
        </w:rPr>
      </w:r>
      <w:r/>
    </w:p>
    <w:p>
      <w:pPr>
        <w:pStyle w:val="Heading2"/>
      </w:pPr>
      <w:bookmarkStart w:id="6" w:name="_Toc232024498"/>
      <w:r>
        <w:rPr>
          <w:lang w:val="en-US" w:eastAsia="en-US" w:bidi="ar-SA"/>
          <w:color w:val="000000"/>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The coexistence of a recorded score increase and non-return motivates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game and its instructions carried no clinical or fall-risk terminology and delivered no participant-facing clinical output; the activity was presented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the driver that can make returning worthwhile and eventually carry the clinical purpose back into the experience.</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what does this add to an application of acceptance and gamification perspectives?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supports evaluation of subsequent innovation?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First, the field programme characterises failure-associated non-return in a gamified FRA setting and develops FIAS as a provisional descriptive construct.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descriptive FIAS construct.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The FIAS label introduced in Chapter 5 describes a provisional pattern of failure-associated non-return; it does not itself identify the process producing that pattern.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while Stage 2 prospectively documents substantial early disengagement and non-return, including cases with favourable recorded score change. The initial expectation was therefore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prospective component test (§8.8)</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FIAS is the provisional descriptive label developed in Chapter 5 for the observed non-return pattern, not a validated clinical syndrome or proof that these operators caused it.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and §8.8 outlines its prospective evaluation.</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demonstrated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prospective test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prospective test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prospective evaluation protocol</w:t>
            </w:r>
          </w:p>
        </w:tc>
        <w:tc>
          <w:tcPr>
            <w:tcW w:w="1958" w:type="dxa"/>
          </w:tcPr>
          <w:p>
            <w:r>
              <w:t>Stage five's design propositions; their effects are not established by the completed stages</w:t>
            </w:r>
          </w:p>
        </w:tc>
      </w:tr>
    </w:tbl>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FIAS,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to examine whether engagement in a separate, decoupled implementation is consistent with the frame-sensitive explanation generated after Stage 2 (§6.1). The three age bands (25-44, 45-64, 65-80) permit exploratory within-cohort comparisons, including H0-age, the equal-proportions null examined after age-stratified tabulation. Initial dropout differed by age (0 of 38 younger versus 16 of 41 older initial dropouts; Fisher's exact p &lt; 0.0001).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conducted from March to August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Complete framework not yet evaluated; specified components reserved for prospective testing</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0.0% (25–44) vs 39.0% (65–80), Fisher's exact p &lt; 0.0001;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highlight w:val="yellow"/>
              </w:rPr>
              <w:t>[AUTHOR INPUT NEEDED: exact dates]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March–August 2026</w:t>
            </w:r>
          </w:p>
        </w:tc>
        <w:tc>
          <w:tcPr>
            <w:tcW w:type="dxa" w:w="1994"/>
          </w:tcPr>
          <w:p>
            <w:r>
              <w:t>§6.12, Appendix H</w:t>
            </w:r>
          </w:p>
        </w:tc>
      </w:tr>
      <w:tr>
        <w:trPr>
          <w:cantSplit/>
        </w:trPr>
        <w:tc>
          <w:tcPr>
            <w:tcW w:type="dxa" w:w="3927"/>
          </w:tcPr>
          <w:p>
            <w:r>
              <w:t>Ethics approval HSEARS20260805008</w:t>
            </w:r>
          </w:p>
        </w:tc>
        <w:tc>
          <w:tcPr>
            <w:tcW w:type="dxa" w:w="2584"/>
          </w:tcPr>
          <w:p>
            <w:r>
              <w:t>August 2026</w:t>
            </w:r>
          </w:p>
        </w:tc>
        <w:tc>
          <w:tcPr>
            <w:tcW w:type="dxa" w:w="1994"/>
          </w:tcPr>
          <w:p>
            <w:r>
              <w:t>§3.4</w:t>
            </w:r>
          </w:p>
        </w:tc>
      </w:tr>
      <w:tr>
        <w:trPr>
          <w:cantSplit/>
        </w:trPr>
        <w:tc>
          <w:tcPr>
            <w:tcW w:type="dxa" w:w="3927"/>
          </w:tcPr>
          <w:p>
            <w:r>
              <w:t>Stage 3B — pre-registered 2x2 field experiment</w:t>
            </w:r>
          </w:p>
        </w:tc>
        <w:tc>
          <w:tcPr>
            <w:tcW w:type="dxa" w:w="2584"/>
          </w:tcPr>
          <w:p>
            <w:r>
              <w:rPr>
                <w:highlight w:val="yellow"/>
              </w:rPr>
              <w:t>August–October 2026 [AUTHOR INPUT NEEDED: window dates]</w:t>
            </w:r>
          </w:p>
        </w:tc>
        <w:tc>
          <w:tcPr>
            <w:tcW w:type="dxa" w:w="1994"/>
          </w:tcPr>
          <w:p>
            <w:r>
              <w:t>§8.8</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evidence activities in calendar order, July 2024 – October 2026, with the chapter that reports each.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approved by the PolyU Human Subjects Ethics Sub-Committee (application reference HSEARS20260805008; Principal Investigator: Prof. Chi Fai Cheung, Department of Industrial and Systems Engineering; approved August 2026); the application described the procedures of all three stages and the expert consultations as conducted, and the approval memo is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highlight w:val="yellow"/>
        </w:rPr>
        <w:t xml:space="preserve"> [AUTHOR INPUT NEEDED: exact approval date from the memo]</w:t>
      </w:r>
    </w:p>
    <w:p>
      <w:pPr>
        <w:jc w:val="both"/>
      </w:pPr>
      <w:r>
        <w:t>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specified in §8.8.</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component study in §8.8 can test its specified adaptation and feedback components, while the complete framework and the causal framing account require their own evaluations. No hypothesis in the completed Stages 1–3 was publicly preregistered;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prescription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highlight w:val="yellow"/>
        </w:rPr>
        <w:t>[AUTHOR INPUT NEEDED: confirm per-generation development dates and tooling - which build generations (early prototype, deployed Stage-2 build, Stage-3 HTML port, v2.x, v3.x) were developed with which tools and when - for the build-lineage matrix in Appendix G.]</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Self-reported symptom improvement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reported any improvement and none returned — the separate margins underlying the recorded-score–engagement discrepancy, subject to the direction caveat above. These margins do not identify how many participants simultaneously recorded a score increase and reported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trajectory display (L5), the coin-reward loop and the staff coaching protocol (L6).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(L2)</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(L5)</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(L6)</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Heading2"/>
      </w:pPr>
      <w:r>
        <w:rPr>
          <w:lang w:val="en-US" w:eastAsia="en-US" w:bidi="ar-SA"/>
          <w:color w:val="000000"/>
          <w:szCs w:val="22"/>
        </w:rPr>
        <w:t>5.6 The F4 Cluster and the Recorded-Score–Engagement Discrepancy</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e-mails disclosed the doctoral research context, including the programme's fall-risk origin, while presenting the activity itself as a purely-fun coordination game; the game and its instructions carried no medical or fall-prevention language and delivered no clinical output. The distributor-tier invitations are archived (Appendix G, item G.5).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reported retention was 85.4% in the 65–80 band, ten of sixteen initial dropouts returned, and a majority expressed regular-use intention. These observations demonstrate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Observed return after initial dropout by age band in Stage 3, including 62.5% in the 65–80 band.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reported retention was 85.4% and stated regular-use intention was 56.1%, a difference of 29.3 percentage points. These are marginal proportions for different constructs: observed retention and hypothetical future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specifies a comparison; it does not report one. The comparison has not been executed, and the quantitative advantage of the FIAS-augmented specification is therefore hypothesised, not demonstrated. This section records a prospective analysis architecture;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(March–August 2026)</w:t>
      </w:r>
    </w:p>
    <w:p>
      <w:pPr>
        <w:jc w:val="both"/>
      </w:pPr>
      <w:r>
        <w:t>The programme's fourth evidence activity comprised four senior-practitioner and researcher consultations between March and August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highlight w:val="yellow"/>
        </w:rPr>
        <w:t>[AUTHOR INPUT NEEDED - Dr Lau second consultation: his played-the-game feedback and the Mirror-project convergence (avatar coaching; self-awareness and self-engagement as the key mechanism) await his explicit clearance and the author's record before this paragraph is completed.]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Their reliability, tolerability and sensitivity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vAlign w:val="center"/>
            <w:tcBorders>
              <w:top w:val="single" w:sz="4" w:color="D9D9D9"/>
              <w:left w:val="single" w:sz="4" w:color="D9D9D9"/>
              <w:bottom w:val="single" w:sz="4" w:color="D9D9D9"/>
              <w:right w:val="single" w:sz="4" w:color="D9D9D9"/>
            </w:tcBorders>
            <w:shd w:fill="E7E6E6"/>
          </w:tcPr>
          <w:p>
            <w:pPr>
              <w:keepNext w:val="0"/>
              <w:keepLines/>
              <w:spacing w:after="80" w:before="80" w:line="252" w:lineRule="auto"/>
            </w:pPr>
            <w:r>
              <w:rPr>
                <w:rFonts w:ascii="Times New Roman" w:hAnsi="Times New Roman"/>
                <w:b/>
                <w:sz w:val="18"/>
              </w:rPr>
              <w:t>Observed change</w:t>
            </w:r>
          </w:p>
        </w:tc>
        <w:tc>
          <w:tcPr>
            <w:tcW w:type="dxa" w:w="2835"/>
            <w:vAlign w:val="center"/>
            <w:tcBorders>
              <w:top w:val="single" w:sz="4" w:color="D9D9D9"/>
              <w:left w:val="single" w:sz="4" w:color="D9D9D9"/>
              <w:bottom w:val="single" w:sz="4" w:color="D9D9D9"/>
              <w:right w:val="single" w:sz="4" w:color="D9D9D9"/>
            </w:tcBorders>
            <w:shd w:fill="E7E6E6"/>
          </w:tcPr>
          <w:p>
            <w:pPr>
              <w:keepNext w:val="0"/>
              <w:keepLines/>
              <w:spacing w:after="80" w:before="80" w:line="252" w:lineRule="auto"/>
            </w:pPr>
            <w:r>
              <w:rPr>
                <w:rFonts w:ascii="Times New Roman" w:hAnsi="Times New Roman"/>
                <w:b/>
                <w:sz w:val="18"/>
              </w:rPr>
              <w:t>Defensible interpretation</w:t>
            </w:r>
          </w:p>
        </w:tc>
        <w:tc>
          <w:tcPr>
            <w:tcW w:type="dxa" w:w="2835"/>
            <w:vAlign w:val="center"/>
            <w:tcBorders>
              <w:top w:val="single" w:sz="4" w:color="D9D9D9"/>
              <w:left w:val="single" w:sz="4" w:color="D9D9D9"/>
              <w:bottom w:val="single" w:sz="4" w:color="D9D9D9"/>
              <w:right w:val="single" w:sz="4" w:color="D9D9D9"/>
            </w:tcBorders>
            <w:shd w:fill="E7E6E6"/>
          </w:tcPr>
          <w:p>
            <w:pPr>
              <w:keepNext w:val="0"/>
              <w:keepLines/>
              <w:spacing w:after="80" w:before="80" w:line="252" w:lineRule="auto"/>
            </w:pPr>
            <w:r>
              <w:rPr>
                <w:rFonts w:ascii="Times New Roman" w:hAnsi="Times New Roman"/>
                <w:b/>
                <w:sz w:val="18"/>
              </w:rPr>
              <w:t>Evidence still required</w:t>
            </w:r>
          </w:p>
        </w:tc>
      </w:tr>
      <w:tr>
        <w:trPr>
          <w:cantSplit/>
        </w:trPr>
        <w:tc>
          <w:tcPr>
            <w:tcW w:type="dxa" w:w="2520"/>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Higher practice score after easier settings</w:t>
            </w:r>
          </w:p>
        </w:tc>
        <w:tc>
          <w:tcPr>
            <w:tcW w:type="dxa" w:w="3053"/>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More success under easier conditions</w:t>
            </w:r>
          </w:p>
        </w:tc>
        <w:tc>
          <w:tcPr>
            <w:tcW w:type="dxa" w:w="2923"/>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Similar performance with less assistance</w:t>
            </w:r>
          </w:p>
        </w:tc>
        <w:tc>
          <w:tcPr>
            <w:tcW w:type="dxa" w:w="3053"/>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Reduced support on the specified task</w:t>
            </w:r>
          </w:p>
        </w:tc>
        <w:tc>
          <w:tcPr>
            <w:tcW w:type="dxa" w:w="2923"/>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Lower confusion or burden after redesign</w:t>
            </w:r>
          </w:p>
        </w:tc>
        <w:tc>
          <w:tcPr>
            <w:tcW w:type="dxa" w:w="3053"/>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Improved usability or experience</w:t>
            </w:r>
          </w:p>
        </w:tc>
        <w:tc>
          <w:tcPr>
            <w:tcW w:type="dxa" w:w="2923"/>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New task or scoring version</w:t>
            </w:r>
          </w:p>
        </w:tc>
        <w:tc>
          <w:tcPr>
            <w:tcW w:type="dxa" w:w="3053"/>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A new performance phase</w:t>
            </w:r>
          </w:p>
        </w:tc>
        <w:tc>
          <w:tcPr>
            <w:tcW w:type="dxa" w:w="2923"/>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Stable or declining reference performance</w:t>
            </w:r>
          </w:p>
        </w:tc>
        <w:tc>
          <w:tcPr>
            <w:tcW w:type="dxa" w:w="3053"/>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No demonstrated capability gain</w:t>
            </w:r>
          </w:p>
        </w:tc>
        <w:tc>
          <w:tcPr>
            <w:tcW w:type="dxa" w:w="2923"/>
            <w:vAlign w:val="center"/>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to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commentReference w:id="5"/>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Scientific</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proposed touch-input component study to a programme that has used standing whole-body input and remote seated hand input. Its adaptive-versus-static and zero-failure-versus-failure-possible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is described in the forward programme as a 2×2 component experiment crossing adaptive against static presentation with zero-failure against failure-possible modes in a new cohort. Its results are not part of the evidence presented in this thesis. The design can test the specified component contrasts; any interaction claim requires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proposed richer economy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highlight w:val="yellow"/>
        </w:rPr>
        <w:t>[AUTHOR INPUT NEEDED - Stage 3B results: this passage is completed when the collection window closes; report all pre-specified outcomes regardless of direction.]</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Under the title Gamification as Proactive Approach for Continuous Improvement and Innovation Enhancement, this programme investigates how a gamified health-technology innovation can respond when a technically available service does not sustain voluntary use. Fall-risk assessment provides the bounded engineering case. The proactive intervention point is an adverse or difficult experience before disengagement becomes established. Continuous improvement has two distinct objects: the participant's supported learning and the engineering team's revision of the intervention. Innovation enhancement is expressed through the proposed integration of gameplay, measurement, truthful progress feedback and a documented redesign process on an existing technological platform.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AI-assisted skiing game as the programme's instrument</w:t>
            </w:r>
          </w:p>
        </w:tc>
        <w:tc>
          <w:tcPr>
            <w:tcW w:type="dxa" w:w="3596"/>
          </w:tcPr>
          <w:p>
            <w:r>
              <w:t>-</w:t>
            </w:r>
          </w:p>
        </w:tc>
      </w:tr>
      <w:tr>
        <w:trPr>
          <w:cantSplit/>
        </w:trPr>
        <w:tc>
          <w:tcPr>
            <w:tcW w:type="dxa" w:w="1575"/>
          </w:tcPr>
          <w:p>
            <w:r>
              <w:rPr>
                <w:highlight w:val="yellow"/>
              </w:rPr>
              <w:t>[AUTHOR INPUT NEEDED: exact dates]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March-August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August 2026</w:t>
            </w:r>
          </w:p>
        </w:tc>
        <w:tc>
          <w:tcPr>
            <w:tcW w:type="dxa" w:w="2384"/>
          </w:tcPr>
          <w:p>
            <w:r>
              <w:t>Ethics approval HSEARS20260805008</w:t>
            </w:r>
          </w:p>
        </w:tc>
        <w:tc>
          <w:tcPr>
            <w:tcW w:type="dxa" w:w="2460"/>
          </w:tcPr>
          <w:p>
            <w:r>
              <w:t>-</w:t>
            </w:r>
          </w:p>
        </w:tc>
        <w:tc>
          <w:tcPr>
            <w:tcW w:type="dxa" w:w="3422"/>
          </w:tcPr>
          <w:p>
            <w:r>
              <w:t>Formal approval covering the programme as conducted and the forward stage</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highlight w:val="yellow"/>
              </w:rPr>
              <w:t>August-October 2026 [AUTHOR INPUT NEEDED: window dates]</w:t>
            </w:r>
          </w:p>
        </w:tc>
        <w:tc>
          <w:tcPr>
            <w:tcW w:type="dxa" w:w="2384"/>
          </w:tcPr>
          <w:p>
            <w:r>
              <w:t>Stage 3B pre-registered 2x2 field experiment</w:t>
            </w:r>
          </w:p>
        </w:tc>
        <w:tc>
          <w:tcPr>
            <w:tcW w:type="dxa" w:w="2460"/>
          </w:tcPr>
          <w:p>
            <w:r>
              <w:t>The adaptive-learning framework; the errorless-versus-graceful-failure question open</w:t>
            </w:r>
          </w:p>
        </w:tc>
        <w:tc>
          <w:tcPr>
            <w:tcW w:type="dxa" w:w="3422"/>
          </w:tcPr>
          <w:p>
            <w:r>
              <w:rPr>
                <w:highlight w:val="yellow"/>
              </w:rPr>
              <w:t>[TO BE REPORTED when the Stage 3B window closes]</w:t>
            </w:r>
          </w:p>
        </w:tc>
        <w:tc>
          <w:tcPr>
            <w:tcW w:type="dxa" w:w="3596"/>
          </w:tcPr>
          <w:p>
            <w:r>
              <w:rPr>
                <w:highlight w:val="yellow"/>
              </w:rPr>
              <w:t>[OPEN — planned tests of adaptive/static and failure-presentation components;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candidate explanations and proposed engineering response</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Yellow cells await author input or the close of the Stage 3B window.</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highlight w:val="yellow"/>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 [AUTHOR INPUT NEEDED - supply the Stage-2 interview/field records for evidence/, so this stance can be anchored to its documented source and reconciled with the Chapter-5 description of the Stage-2 qualitative record.]</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in-session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 design (§8.8); separate framing comparison proposed</w:t>
            </w:r>
          </w:p>
        </w:tc>
        <w:tc>
          <w:tcPr>
            <w:tcW w:w="1796" w:type="dxa"/>
          </w:tcPr>
          <w:p>
            <w:r>
              <w:t>Proposed; complete framework and progress specification not yet evaluated</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demonstrates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future evaluation should compare them with decoupling alone and with simpler support alternatives.</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innovation contribution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concerns component testing;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warning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w:t>
      </w:r>
    </w:p>
    <w:p>
      <w:pPr>
        <w:jc w:val="both"/>
      </w:pPr>
      <w:r>
        <w:t xml:space="preserve">G.0A Build-lineage matrix. </w:t>
      </w:r>
      <w:r>
        <w:rPr>
          <w:highlight w:val="yellow"/>
        </w:rPr>
        <w:t>[AUTHOR INPUT NEEDED: one version-controlled row per build generation - 2024 control demonstration, deployed Stage-2 build, Stage-3 HTML port, v2.x successor builds, v3.x Stage-3B fleet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w:t>
      </w:r>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Photographs of the Guangzhou Stage-2 deployment (consented).</w:t>
      </w:r>
    </w:p>
    <w:p>
      <w:pPr>
        <w:jc w:val="both"/>
      </w:pPr>
      <w:r>
        <w:t>G.5  The Stage-3 distribution and return e-mail record (de-identified index of dates, channels and returned files).</w:t>
      </w:r>
    </w:p>
    <w:p>
      <w:pPr>
        <w:jc w:val="both"/>
      </w:pPr>
      <w:r>
        <w:t>G.6  Screenshots of the skiing game at each difficulty level (1–5).</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G.8),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1"/>
        <w:pageBreakBefore/>
      </w:pPr>
      <w:r>
        <w:rPr>
          <w:color w:val="000000"/>
        </w:rPr>
        <w:t>Author completion checklist</w:t>
      </w:r>
    </w:p>
    <w:p>
      <w:r>
        <w:rPr>
          <w:highlight w:val="yellow"/>
        </w:rPr>
        <w:t>REVIEW COPY V39 - AUTHOR INPUT CHECKLIST (this page and every yellow mark must be resolved and removed before submission). Outstanding inputs: (1) exact HSESC approval date from the approval memo (s3.4 says 'August 2026'); (2) SS-293 camera-ready text for the consent-statement check; (3) the as-sent Mar-Apr 2026 participant invitation original (Appendix D/G.5); (4) photos of the two Stage-2 paper instruments (Appendix C); (5) verbatim Mandarin Stage-1 survey items + response CSV (Appendix A, G.1); (6) FIAS thirteen-attribute coding table + inter-coder kappa (Appendix B); (7) D1-D2 response scale (5 vs 7) + bilingual wording (Appendix D); (8) Stage-2 AI endpoint record - vendor/model/prompts/config (G.7) and whether session telemetry/AI-call logs were retained (G.2 or one disclosed sentence); (9) control person's written consent for Figure 5.1A (G.8); (10) Stage-3 participant-level logbook: distributor wrappers + questionnaire returns, or the disclosure sentence that compilation remains partial (s6.4); (11) Stage 3B results when the window closes (s8.8); (12) Dr Lau second consultation: game feedback, Mirror clearance, member-check (s8.5A, H.6); (13) member-checks for Dr Choy's and Dr Lau's summaries; (14) screenshots to re-send as files (dated invitations, Choy/Wong/Lau WhatsApp chains, HSEARS dashboard, ICMSS acceptance letter); (15) final Word field refresh (Ctrl+A, F9) + full verification sweep + proofread. (16) Examiner-style review of 5 Sep 2026 (archived in evidence/): text-level calibration applied in V38 and revised in V39 - stage-role vocabulary (decoupling comparison, not attribution experiment/positive control), candidate-boundary phrasing, H0 framing note, QFD relabelled qualitative requirements mapping, new rivals s8.5.10 (consequence-avoidance) and continuance comparison (Bhattacherjee 2001), s5.3.9 chronology note, Table 9.3 statuses recalibrated. RECORD-DEPENDENT items awaiting the mid-September records: ethics documentary set (memo + authorised scope + basis for all-30 analysis), source-to-result manifest (Appendix G stub), build-lineage matrix (Appendix G stub), participant-journey reconstruction (timestamps/definitions), FRA index measurement provenance, instrument reproduction (Appendix A/C/D), denominator reconciliation. Evidence cut-off to be declared when the records land.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V39 revised thesis with retained author completion items.</dc:description>
  <cp:lastModifiedBy>TAM, Sidney [Student]</cp:lastModifiedBy>
  <cp:revision>6</cp:revision>
  <cp:lastPrinted>2026-07-11T05:43:00Z</cp:lastPrinted>
  <dcterms:created xsi:type="dcterms:W3CDTF">2026-07-03T09:50:00Z</dcterms:created>
  <dcterms:modified xsi:type="dcterms:W3CDTF">2026-07-11T10:34:00Z</dcterms:modified>
  <cp:category/>
  <cp:version>39</cp:version>
</cp:coreProperties>
</file>