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 Learning-Oriented Design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This thesis sits within the EngD programme topic Gamification as a Proactive Approach for Continuous Improvement and Innovation Enhancement. It examines how gamified design, deployed proactively rather than as a remedial overlay, may address failure-associated non-return in an older-adult health-technology setting. Fall Risk Assessment (FRA) is used as the working case. The thesis advances a frame-sensitive account in which clinical or diagnostic presentation may alter the behavioural meaning of failure, and it develops adaptive, learning-oriented design as an engineering response for prospective testing. The behavioural-economic mechanisms proposed in the thesis - mental accounting of health outcomes, identity protection, loss aversion and stereotype threat - are treated as theoretically grounded inferences rather than as directly measured causal mechanisms.</w:t>
      </w:r>
    </w:p>
    <w:p w14:paraId="4BEDA2C7" w14:textId="77777777" w:rsidR="0062437E" w:rsidRDefault="00000000">
      <w:pPr>
        <w:jc w:val="both"/>
      </w:pPr>
      <w:r>
        <w:t>Stage 1 used a face-to-face survey with approximately 200 residents at a large elderly housing facility in Guangzhou. Thirty-nine per cent reported prior FRA use; among prior users, approximately 74% reported an adverse, unacceptable or unsuccessful first experience as operationalised in the study records, and approximately 82% reported no subsequent return. Because the reproduced six-item instrument does not by itself resolve every meaning of "failure", the Stage-1 result is interpreted as a descriptive association between an adverse first experience and self-reported non-return. Stage 2 prospectively examined the pattern in an eight-week action-research study with thirty residents using a dual-purpose AI-assisted skiing game on the InBody pressure panel. Within the archived Stage-2 dataset, twenty-one of thirty participants (70.0%) disengaged at or before three game cycles, eight after a single session, and no re-engagement was observed within the study window. Among the nine sustained participants the recorded FRA index changed by +6.9 points on average (paired dz = 2.22, 95% CI 0.95–3.46); across all thirty participants the paired change was +4.0 points (dz = 0.42, 95% CI 0.05–0.79). Because the archived dataset contains no session timestamps, no time-to-event model is fitted; earlier survival-analysis framings have been withdrawn. A Quality Function Deployment (QFD) pipeline translates the empirical findings into prioritised game-design requirements. Three of six F4-cluster participants showed positive change in the recorded FRA index during their single session and did not return, producing an objective-score-improvement/non-return paradox. Stage 3 used a separate Hong Kong community cohort of 120 adults aged 25-80 and implemented a participant-facing decoupling package: clinical terminology, pre-session clinical procedures and participant-facing clinical outputs were removed while the same broad hardware, skiing mechanic, five-attempt rule and session length were retained. Observed non-return was 6.7% overall and 13.3% in the 65-80 band. Among 23 initial dropouts, 15 (65.2%) returned voluntarily; in the age-matched 65-80 band, 10 of 16 (62.5%) returned. Coordination-challenge endorsement reached 71.7% and is interpreted primarily as a manipulation check, while regular-use intention reached 63.3% overall.</w:t>
      </w:r>
    </w:p>
    <w:p w14:paraId="768A95F0" w14:textId="77777777" w:rsidR="0062437E" w:rsidRDefault="00000000">
      <w:pPr>
        <w:jc w:val="both"/>
      </w:pPr>
      <w:r>
        <w:lastRenderedPageBreak/>
        <w:t>Taken together, the findings are consistent with a coupling or framing account: when a gamified activity is presented as part of an artefact-based clinical assessment, failure may acquire identity-relevant meaning and be associated with non-return; under participant-facing decoupling in a separate cohort, post-failure return was substantially higher. The design does not isolate framing from every cohort, recruitment and contextual difference, so the evidence supports rather than proves the coupling account. The 35.6-percentage-point difference between in-session retention (86.7%) and regular-use intention (51.1%) in the 65-80 band is a descriptive commitment gap and does not identify a single mechanism. The thesis therefore proposes, rather than empirically confirms, a Learning-Oriented Design Framework (LODF) comprising identity disentanglement, trajectory installation and adaptive calibration. Endowment-protective appraisal and learning-trajectory appraisal are framed as competing interpretive regimes rather than mutually exclusive psychological states. The contributions are theoretical (FIAS as a provisional behavioural construct and a candidate frame-sensitive mechanism), methodological (the dual-purpose mechanic, theory-iterating action research, a between-cohort quasi-experimental decoupling comparison and commitment-gap measurement), empirical (convergent field evidence consistent with a frame-sensitive account, pending within-cohort confirmation), and practical (an engineering-actionable framework deployable on existing infrastructure and specified for future controlled evaluation).</w:t>
      </w:r>
    </w:p>
    <w:p w14:paraId="3DA71CBC" w14:textId="77777777" w:rsidR="0062437E" w:rsidRDefault="00000000">
      <w:pPr>
        <w:jc w:val="both"/>
      </w:pPr>
      <w:r>
        <w:t>Keywords: Gamification; continuous improvement; innovation enhancement; Fall Risk Assessment; elderly technology adoption; failure-induced abandonment; loss aversion; endowment effect; mental accounting; information entropy; adaptive learning; Learning-Oriented Design Framework.</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r>
      <w:r>
        <w:tab/>
        <w:t>iii</w:t>
      </w:r>
    </w:p>
    <w:p w14:paraId="0A998D73" w14:textId="77777777" w:rsidR="00FD5D21" w:rsidRDefault="00FD5D21">
      <w:pPr>
        <w:pStyle w:val="TOC1"/>
        <w:tabs>
          <w:tab w:val="right" w:leader="dot" w:pos="8495"/>
        </w:tabs>
        <w:rPr>
          <w:noProof/>
        </w:rPr>
      </w:pPr>
      <w:r>
        <w:t>Acknowledgements</w:t>
      </w:r>
      <w:r>
        <w:tab/>
        <w:t>v</w:t>
      </w:r>
    </w:p>
    <w:p w14:paraId="3FD42362" w14:textId="77777777" w:rsidR="00FD5D21" w:rsidRDefault="00FD5D21">
      <w:pPr>
        <w:pStyle w:val="TOC1"/>
        <w:tabs>
          <w:tab w:val="right" w:leader="dot" w:pos="8495"/>
        </w:tabs>
        <w:rPr>
          <w:noProof/>
        </w:rPr>
      </w:pPr>
      <w:r>
        <w:t>Table of Contents</w:t>
      </w:r>
      <w:r>
        <w:tab/>
        <w:t>vi</w:t>
      </w:r>
    </w:p>
    <w:p w14:paraId="485E3FB1" w14:textId="77777777" w:rsidR="00FD5D21" w:rsidRDefault="00FD5D21">
      <w:pPr>
        <w:pStyle w:val="TOC1"/>
        <w:tabs>
          <w:tab w:val="right" w:leader="dot" w:pos="8495"/>
        </w:tabs>
        <w:rPr>
          <w:noProof/>
        </w:rPr>
      </w:pPr>
      <w:r>
        <w:t>List of Figures</w:t>
      </w:r>
      <w:r>
        <w:tab/>
        <w:t>xiv</w:t>
      </w:r>
    </w:p>
    <w:p w14:paraId="62BE4204" w14:textId="77777777" w:rsidR="00FD5D21" w:rsidRDefault="00FD5D21">
      <w:pPr>
        <w:pStyle w:val="TOC1"/>
        <w:tabs>
          <w:tab w:val="right" w:leader="dot" w:pos="8495"/>
        </w:tabs>
        <w:rPr>
          <w:noProof/>
        </w:rPr>
      </w:pPr>
      <w:r>
        <w:t>List of Tables</w:t>
      </w:r>
      <w:r>
        <w:tab/>
        <w:t>xvi</w:t>
      </w:r>
    </w:p>
    <w:p w14:paraId="37F76FB1" w14:textId="77777777" w:rsidR="00FD5D21" w:rsidRDefault="00FD5D21">
      <w:pPr>
        <w:pStyle w:val="TOC1"/>
        <w:tabs>
          <w:tab w:val="right" w:leader="dot" w:pos="8495"/>
        </w:tabs>
        <w:rPr>
          <w:noProof/>
        </w:rPr>
      </w:pPr>
      <w:r>
        <w:t>List of Abbreviations</w:t>
      </w:r>
      <w:r>
        <w:tab/>
        <w:t>xvii</w:t>
      </w:r>
    </w:p>
    <w:p w14:paraId="2A84A3C8" w14:textId="77777777" w:rsidR="00FD5D21" w:rsidRDefault="00FD5D21">
      <w:pPr>
        <w:pStyle w:val="TOC1"/>
        <w:tabs>
          <w:tab w:val="right" w:leader="dot" w:pos="8495"/>
        </w:tabs>
        <w:rPr>
          <w:noProof/>
        </w:rPr>
      </w:pPr>
      <w:r>
        <w:t>Chapter 1 Introduction</w:t>
      </w:r>
      <w:r>
        <w:tab/>
        <w:t>1</w:t>
      </w:r>
    </w:p>
    <w:p w14:paraId="3D8BF843" w14:textId="77777777" w:rsidR="00FD5D21" w:rsidRDefault="00FD5D21">
      <w:pPr>
        <w:pStyle w:val="TOC2"/>
        <w:tabs>
          <w:tab w:val="right" w:leader="dot" w:pos="8495"/>
        </w:tabs>
        <w:rPr>
          <w:noProof/>
        </w:rPr>
      </w:pPr>
      <w:r>
        <w:t>1.1 The Point of Departure: An Empty Station in a Busy Hall</w:t>
      </w:r>
      <w:r>
        <w:tab/>
        <w:t>1</w:t>
      </w:r>
    </w:p>
    <w:p w14:paraId="3DBFFC8E" w14:textId="77777777" w:rsidR="00FD5D21" w:rsidRDefault="00FD5D21">
      <w:pPr>
        <w:pStyle w:val="TOC2"/>
        <w:tabs>
          <w:tab w:val="right" w:leader="dot" w:pos="8495"/>
        </w:tabs>
        <w:rPr>
          <w:noProof/>
        </w:rPr>
      </w:pPr>
      <w:r>
        <w:t>1.2 Why the Empty Station Is an Industry Problem, Not a Local Problem</w:t>
      </w:r>
      <w:r>
        <w:tab/>
        <w:t>1</w:t>
      </w:r>
    </w:p>
    <w:p w14:paraId="0948A1BD" w14:textId="77777777" w:rsidR="00FD5D21" w:rsidRDefault="00FD5D21">
      <w:pPr>
        <w:pStyle w:val="TOC2"/>
        <w:tabs>
          <w:tab w:val="right" w:leader="dot" w:pos="8495"/>
        </w:tabs>
        <w:rPr>
          <w:noProof/>
        </w:rPr>
      </w:pPr>
      <w:r>
        <w:t>1.3 The Demographic Backdrop</w:t>
      </w:r>
      <w:r>
        <w:tab/>
        <w:t>2</w:t>
      </w:r>
    </w:p>
    <w:p w14:paraId="42719472" w14:textId="77777777" w:rsidR="00FD5D21" w:rsidRDefault="00FD5D21">
      <w:pPr>
        <w:pStyle w:val="TOC2"/>
        <w:tabs>
          <w:tab w:val="right" w:leader="dot" w:pos="8495"/>
        </w:tabs>
        <w:rPr>
          <w:noProof/>
        </w:rPr>
      </w:pPr>
      <w:r>
        <w:t>1.4 Falls, the Cascade, and the Fall Risk Assessment Technology</w:t>
      </w:r>
      <w:r>
        <w:tab/>
        <w:t>3</w:t>
      </w:r>
    </w:p>
    <w:p w14:paraId="1A58A984" w14:textId="77777777" w:rsidR="00FD5D21" w:rsidRDefault="00FD5D21">
      <w:pPr>
        <w:pStyle w:val="TOC2"/>
        <w:tabs>
          <w:tab w:val="right" w:leader="dot" w:pos="8495"/>
        </w:tabs>
        <w:rPr>
          <w:noProof/>
        </w:rPr>
      </w:pPr>
      <w:r>
        <w:t>1.5 The Working Hypothesis Formed Before the Research Began</w:t>
      </w:r>
      <w:r>
        <w:tab/>
        <w:t>3</w:t>
      </w:r>
    </w:p>
    <w:p w14:paraId="566BE719" w14:textId="77777777" w:rsidR="00FD5D21" w:rsidRDefault="00FD5D21">
      <w:pPr>
        <w:pStyle w:val="TOC2"/>
        <w:tabs>
          <w:tab w:val="right" w:leader="dot" w:pos="8495"/>
        </w:tabs>
        <w:rPr>
          <w:noProof/>
        </w:rPr>
      </w:pPr>
      <w:r>
        <w:t>1.6 The Initial Survey: Building the Foundation of the Programme</w:t>
      </w:r>
      <w:r>
        <w:tab/>
        <w:t>4</w:t>
      </w:r>
    </w:p>
    <w:p w14:paraId="048D8220" w14:textId="77777777" w:rsidR="00FD5D21" w:rsidRDefault="00FD5D21">
      <w:pPr>
        <w:pStyle w:val="TOC2"/>
        <w:tabs>
          <w:tab w:val="right" w:leader="dot" w:pos="8495"/>
        </w:tabs>
        <w:rPr>
          <w:noProof/>
        </w:rPr>
      </w:pPr>
      <w:r>
        <w:t>1.7 The Three F4 Residents and the Objective-Score-Improvement/Non-Return Paradox</w:t>
      </w:r>
      <w:r>
        <w:tab/>
        <w:t>5</w:t>
      </w:r>
    </w:p>
    <w:p w14:paraId="43C5C983" w14:textId="77777777" w:rsidR="00FD5D21" w:rsidRDefault="00FD5D21">
      <w:pPr>
        <w:pStyle w:val="TOC2"/>
        <w:tabs>
          <w:tab w:val="right" w:leader="dot" w:pos="8495"/>
        </w:tabs>
        <w:rPr>
          <w:noProof/>
        </w:rPr>
      </w:pPr>
      <w:r>
        <w:t>1.8 The Learn-to-Earn Philosophy: A Thread Running Through the Journey</w:t>
      </w:r>
      <w:r>
        <w:tab/>
        <w:t>6</w:t>
      </w:r>
    </w:p>
    <w:p w14:paraId="15D06FCC" w14:textId="77777777" w:rsidR="00FD5D21" w:rsidRDefault="00FD5D21">
      <w:pPr>
        <w:pStyle w:val="TOC2"/>
        <w:tabs>
          <w:tab w:val="right" w:leader="dot" w:pos="8495"/>
        </w:tabs>
        <w:rPr>
          <w:noProof/>
        </w:rPr>
      </w:pPr>
      <w:r>
        <w:t>1.9 The Decoupling Test and the Closure of the Empirical Arc</w:t>
      </w:r>
      <w:r>
        <w:tab/>
        <w:t>6</w:t>
      </w:r>
    </w:p>
    <w:p w14:paraId="785DAA57" w14:textId="77777777" w:rsidR="00FD5D21" w:rsidRDefault="00FD5D21">
      <w:pPr>
        <w:pStyle w:val="TOC2"/>
        <w:tabs>
          <w:tab w:val="right" w:leader="dot" w:pos="8495"/>
        </w:tabs>
        <w:rPr>
          <w:noProof/>
        </w:rPr>
      </w:pPr>
      <w:r>
        <w:t>1.10 The Researcher's Position</w:t>
      </w:r>
      <w:r>
        <w:tab/>
        <w:t>7</w:t>
      </w:r>
    </w:p>
    <w:p w14:paraId="3C5CC584" w14:textId="77777777" w:rsidR="00FD5D21" w:rsidRDefault="00FD5D21">
      <w:pPr>
        <w:pStyle w:val="TOC2"/>
        <w:tabs>
          <w:tab w:val="right" w:leader="dot" w:pos="8495"/>
        </w:tabs>
        <w:rPr>
          <w:noProof/>
        </w:rPr>
      </w:pPr>
      <w:r>
        <w:t>1.11 Aim and Research Questions</w:t>
      </w:r>
      <w:r>
        <w:tab/>
        <w:t>8</w:t>
      </w:r>
    </w:p>
    <w:p w14:paraId="4E1220CF" w14:textId="77777777" w:rsidR="00FD5D21" w:rsidRDefault="00FD5D21">
      <w:pPr>
        <w:pStyle w:val="TOC2"/>
        <w:tabs>
          <w:tab w:val="right" w:leader="dot" w:pos="8495"/>
        </w:tabs>
        <w:rPr>
          <w:noProof/>
        </w:rPr>
      </w:pPr>
      <w:r>
        <w:t>1.12 Original Contributions</w:t>
      </w:r>
      <w:r>
        <w:tab/>
        <w:t>9</w:t>
      </w:r>
    </w:p>
    <w:p w14:paraId="28818675" w14:textId="77777777" w:rsidR="00FD5D21" w:rsidRDefault="00FD5D21">
      <w:pPr>
        <w:pStyle w:val="TOC2"/>
        <w:tabs>
          <w:tab w:val="right" w:leader="dot" w:pos="8495"/>
        </w:tabs>
        <w:rPr>
          <w:noProof/>
        </w:rPr>
      </w:pPr>
      <w:r>
        <w:t>1.13 Scope, Boundaries, and What This Thesis Does Not Claim</w:t>
      </w:r>
      <w:r>
        <w:tab/>
        <w:t>9</w:t>
      </w:r>
    </w:p>
    <w:p w14:paraId="0C100781" w14:textId="77777777" w:rsidR="00FD5D21" w:rsidRDefault="00FD5D21">
      <w:pPr>
        <w:pStyle w:val="TOC2"/>
        <w:tabs>
          <w:tab w:val="right" w:leader="dot" w:pos="8495"/>
        </w:tabs>
        <w:rPr>
          <w:noProof/>
        </w:rPr>
      </w:pPr>
      <w:r>
        <w:t>1.14 Structure of the Thesis</w:t>
      </w:r>
      <w:r>
        <w:tab/>
        <w:t>10</w:t>
      </w:r>
    </w:p>
    <w:p w14:paraId="5DFCA0E6" w14:textId="77777777" w:rsidR="00FD5D21" w:rsidRDefault="00FD5D21">
      <w:pPr>
        <w:pStyle w:val="TOC1"/>
        <w:tabs>
          <w:tab w:val="right" w:leader="dot" w:pos="8495"/>
        </w:tabs>
        <w:rPr>
          <w:noProof/>
        </w:rPr>
      </w:pPr>
      <w:r>
        <w:t>Chapter 2 Literature Review and Theoretical Foundation</w:t>
      </w:r>
      <w:r>
        <w:tab/>
        <w:t>11</w:t>
      </w:r>
    </w:p>
    <w:p w14:paraId="3FB58ADF" w14:textId="77777777" w:rsidR="00FD5D21" w:rsidRDefault="00FD5D21">
      <w:pPr>
        <w:pStyle w:val="TOC2"/>
        <w:tabs>
          <w:tab w:val="right" w:leader="dot" w:pos="8495"/>
        </w:tabs>
        <w:rPr>
          <w:noProof/>
        </w:rPr>
      </w:pPr>
      <w:r>
        <w:t>2.1 The Transformative Logic of the Literature Review</w:t>
      </w:r>
      <w:r>
        <w:tab/>
        <w:t>11</w:t>
      </w:r>
    </w:p>
    <w:p w14:paraId="329D5565" w14:textId="77777777" w:rsidR="00FD5D21" w:rsidRDefault="00FD5D21">
      <w:pPr>
        <w:pStyle w:val="TOC2"/>
        <w:tabs>
          <w:tab w:val="right" w:leader="dot" w:pos="8495"/>
        </w:tabs>
        <w:rPr>
          <w:noProof/>
        </w:rPr>
      </w:pPr>
      <w:r>
        <w:t>2.2 Stage One: The Technology Acceptance Lineage</w:t>
      </w:r>
      <w:r>
        <w:tab/>
        <w:t>12</w:t>
      </w:r>
    </w:p>
    <w:p w14:paraId="58E1C900" w14:textId="77777777" w:rsidR="00FD5D21" w:rsidRDefault="00FD5D21">
      <w:pPr>
        <w:pStyle w:val="TOC3"/>
        <w:tabs>
          <w:tab w:val="right" w:leader="dot" w:pos="8495"/>
        </w:tabs>
        <w:rPr>
          <w:noProof/>
        </w:rPr>
      </w:pPr>
      <w:r>
        <w:t>2.2.1 TAM and the Two-Construct Core</w:t>
      </w:r>
      <w:r>
        <w:tab/>
        <w:t>12</w:t>
      </w:r>
    </w:p>
    <w:p w14:paraId="68E8DF83" w14:textId="77777777" w:rsidR="00FD5D21" w:rsidRDefault="00FD5D21">
      <w:pPr>
        <w:pStyle w:val="TOC3"/>
        <w:tabs>
          <w:tab w:val="right" w:leader="dot" w:pos="8495"/>
        </w:tabs>
        <w:rPr>
          <w:noProof/>
        </w:rPr>
      </w:pPr>
      <w:r>
        <w:lastRenderedPageBreak/>
        <w:t>2.2.2 TAM2, TAM3 and UTAUT</w:t>
      </w:r>
      <w:r>
        <w:tab/>
        <w:t>12</w:t>
      </w:r>
    </w:p>
    <w:p w14:paraId="48D38E9D" w14:textId="77777777" w:rsidR="00FD5D21" w:rsidRDefault="00FD5D21">
      <w:pPr>
        <w:pStyle w:val="TOC3"/>
        <w:tabs>
          <w:tab w:val="right" w:leader="dot" w:pos="8495"/>
        </w:tabs>
        <w:rPr>
          <w:noProof/>
        </w:rPr>
      </w:pPr>
      <w:r>
        <w:t>2.2.3 The Senior Technology Acceptance Model (STAM)</w:t>
      </w:r>
      <w:r>
        <w:tab/>
        <w:t>13</w:t>
      </w:r>
    </w:p>
    <w:p w14:paraId="7712F7B2" w14:textId="77777777" w:rsidR="00FD5D21" w:rsidRDefault="00FD5D21">
      <w:pPr>
        <w:pStyle w:val="TOC2"/>
        <w:tabs>
          <w:tab w:val="right" w:leader="dot" w:pos="8495"/>
        </w:tabs>
        <w:rPr>
          <w:noProof/>
        </w:rPr>
      </w:pPr>
      <w:r>
        <w:t>2.3 Stage Two: Gamification, Octalysis and the An–Cheung Demonstration</w:t>
      </w:r>
      <w:r>
        <w:tab/>
        <w:t>13</w:t>
      </w:r>
    </w:p>
    <w:p w14:paraId="2DB55FA0" w14:textId="77777777" w:rsidR="00FD5D21" w:rsidRDefault="00FD5D21">
      <w:pPr>
        <w:pStyle w:val="TOC3"/>
        <w:tabs>
          <w:tab w:val="right" w:leader="dot" w:pos="8495"/>
        </w:tabs>
        <w:rPr>
          <w:noProof/>
        </w:rPr>
      </w:pPr>
      <w:r>
        <w:t>2.3.1 Defining Gamification</w:t>
      </w:r>
      <w:r>
        <w:tab/>
        <w:t>13</w:t>
      </w:r>
    </w:p>
    <w:p w14:paraId="22224FA0" w14:textId="77777777" w:rsidR="00FD5D21" w:rsidRDefault="00FD5D21">
      <w:pPr>
        <w:pStyle w:val="TOC3"/>
        <w:tabs>
          <w:tab w:val="right" w:leader="dot" w:pos="8495"/>
        </w:tabs>
        <w:rPr>
          <w:noProof/>
        </w:rPr>
      </w:pPr>
      <w:r>
        <w:t>2.3.2 The Octalysis Framework</w:t>
      </w:r>
      <w:r>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r>
      <w:r>
        <w:tab/>
        <w:t>14</w:t>
      </w:r>
    </w:p>
    <w:p w14:paraId="7B53A685" w14:textId="77777777" w:rsidR="00FD5D21" w:rsidRDefault="00FD5D21">
      <w:pPr>
        <w:pStyle w:val="TOC3"/>
        <w:tabs>
          <w:tab w:val="right" w:leader="dot" w:pos="8495"/>
        </w:tabs>
        <w:rPr>
          <w:noProof/>
        </w:rPr>
      </w:pPr>
      <w:r>
        <w:t>2.3.4 The Boundary: When the Technology is Attached to FRA</w:t>
      </w:r>
      <w:r>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r>
      <w:r>
        <w:tab/>
        <w:t>15</w:t>
      </w:r>
    </w:p>
    <w:p w14:paraId="48283D30" w14:textId="77777777" w:rsidR="00FD5D21" w:rsidRDefault="00FD5D21">
      <w:pPr>
        <w:pStyle w:val="TOC3"/>
        <w:tabs>
          <w:tab w:val="right" w:leader="dot" w:pos="8495"/>
        </w:tabs>
        <w:rPr>
          <w:noProof/>
        </w:rPr>
      </w:pPr>
      <w:r>
        <w:t>2.4.1 Bandura's Self-Efficacy</w:t>
      </w:r>
      <w:r>
        <w:tab/>
        <w:t>15</w:t>
      </w:r>
    </w:p>
    <w:p w14:paraId="4AC03ED7" w14:textId="77777777" w:rsidR="00FD5D21" w:rsidRDefault="00FD5D21">
      <w:pPr>
        <w:pStyle w:val="TOC3"/>
        <w:tabs>
          <w:tab w:val="right" w:leader="dot" w:pos="8495"/>
        </w:tabs>
        <w:rPr>
          <w:noProof/>
        </w:rPr>
      </w:pPr>
      <w:r>
        <w:t>2.4.2 Computer Self-Efficacy Among Older Adults</w:t>
      </w:r>
      <w:r>
        <w:tab/>
        <w:t>15</w:t>
      </w:r>
    </w:p>
    <w:p w14:paraId="4C37A73B" w14:textId="77777777" w:rsidR="00FD5D21" w:rsidRDefault="00FD5D21">
      <w:pPr>
        <w:pStyle w:val="TOC3"/>
        <w:tabs>
          <w:tab w:val="right" w:leader="dot" w:pos="8495"/>
        </w:tabs>
        <w:rPr>
          <w:noProof/>
        </w:rPr>
      </w:pPr>
      <w:r>
        <w:t>2.4.3 The Fear-and-Failure Cycle</w:t>
      </w:r>
      <w:r>
        <w:tab/>
        <w:t>16</w:t>
      </w:r>
    </w:p>
    <w:p w14:paraId="0E175635" w14:textId="77777777" w:rsidR="00FD5D21" w:rsidRDefault="00FD5D21">
      <w:pPr>
        <w:pStyle w:val="TOC3"/>
        <w:tabs>
          <w:tab w:val="right" w:leader="dot" w:pos="8495"/>
        </w:tabs>
        <w:rPr>
          <w:noProof/>
        </w:rPr>
      </w:pPr>
      <w:r>
        <w:t>2.4.4 What Self-Efficacy Explains and What It Does Not</w:t>
      </w:r>
      <w:r>
        <w:tab/>
        <w:t>16</w:t>
      </w:r>
    </w:p>
    <w:p w14:paraId="3052E594" w14:textId="77777777" w:rsidR="00FD5D21" w:rsidRDefault="00FD5D21">
      <w:pPr>
        <w:pStyle w:val="TOC2"/>
        <w:tabs>
          <w:tab w:val="right" w:leader="dot" w:pos="8495"/>
        </w:tabs>
        <w:rPr>
          <w:noProof/>
        </w:rPr>
      </w:pPr>
      <w:r>
        <w:t>2.5 Stage Four: Behavioural Science as a Candidate FIAS Account</w:t>
      </w:r>
      <w:r>
        <w:tab/>
        <w:t>16</w:t>
      </w:r>
    </w:p>
    <w:p w14:paraId="773E2CB0" w14:textId="77777777" w:rsidR="00FD5D21" w:rsidRDefault="00FD5D21">
      <w:pPr>
        <w:pStyle w:val="TOC3"/>
        <w:tabs>
          <w:tab w:val="right" w:leader="dot" w:pos="8495"/>
        </w:tabs>
        <w:rPr>
          <w:noProof/>
        </w:rPr>
      </w:pPr>
      <w:r>
        <w:t>2.5.1 Why Behavioural Science Is Required</w:t>
      </w:r>
      <w:r>
        <w:tab/>
        <w:t>16</w:t>
      </w:r>
    </w:p>
    <w:p w14:paraId="2745588C" w14:textId="77777777" w:rsidR="00FD5D21" w:rsidRDefault="00FD5D21">
      <w:pPr>
        <w:pStyle w:val="TOC3"/>
        <w:tabs>
          <w:tab w:val="right" w:leader="dot" w:pos="8495"/>
        </w:tabs>
        <w:rPr>
          <w:noProof/>
        </w:rPr>
      </w:pPr>
      <w:r>
        <w:t>2.5.2 Prospect Theory and Loss Aversion</w:t>
      </w:r>
      <w:r>
        <w:tab/>
        <w:t>17</w:t>
      </w:r>
    </w:p>
    <w:p w14:paraId="2A62A909" w14:textId="77777777" w:rsidR="00FD5D21" w:rsidRDefault="00FD5D21">
      <w:pPr>
        <w:pStyle w:val="TOC3"/>
        <w:tabs>
          <w:tab w:val="right" w:leader="dot" w:pos="8495"/>
        </w:tabs>
        <w:rPr>
          <w:noProof/>
        </w:rPr>
      </w:pPr>
      <w:r>
        <w:t>2.5.3 The Endowment Effect on Identity-Level Assets</w:t>
      </w:r>
      <w:r>
        <w:tab/>
        <w:t>17</w:t>
      </w:r>
    </w:p>
    <w:p w14:paraId="25FB7E43" w14:textId="77777777" w:rsidR="00FD5D21" w:rsidRDefault="00FD5D21">
      <w:pPr>
        <w:pStyle w:val="TOC3"/>
        <w:tabs>
          <w:tab w:val="right" w:leader="dot" w:pos="8495"/>
        </w:tabs>
        <w:rPr>
          <w:noProof/>
        </w:rPr>
      </w:pPr>
      <w:r>
        <w:t>2.5.4 Mental Accounting of Health Outcomes</w:t>
      </w:r>
      <w:r>
        <w:tab/>
        <w:t>17</w:t>
      </w:r>
    </w:p>
    <w:p w14:paraId="3C278876" w14:textId="77777777" w:rsidR="00FD5D21" w:rsidRDefault="00FD5D21">
      <w:pPr>
        <w:pStyle w:val="TOC3"/>
        <w:tabs>
          <w:tab w:val="right" w:leader="dot" w:pos="8495"/>
        </w:tabs>
        <w:rPr>
          <w:noProof/>
        </w:rPr>
      </w:pPr>
      <w:r>
        <w:t>2.5.5 Stereotype Threat as the Trigger</w:t>
      </w:r>
      <w:r>
        <w:tab/>
        <w:t>18</w:t>
      </w:r>
    </w:p>
    <w:p w14:paraId="53AAF294" w14:textId="77777777" w:rsidR="00FD5D21" w:rsidRDefault="00FD5D21">
      <w:pPr>
        <w:pStyle w:val="TOC3"/>
        <w:tabs>
          <w:tab w:val="right" w:leader="dot" w:pos="8495"/>
        </w:tabs>
        <w:rPr>
          <w:noProof/>
        </w:rPr>
      </w:pPr>
      <w:r>
        <w:t>2.5.6 A Four-Layer Behavioural Integration Proposed for FIAS</w:t>
      </w:r>
      <w:r>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r>
      <w:r>
        <w:tab/>
        <w:t>19</w:t>
      </w:r>
    </w:p>
    <w:p w14:paraId="1FAC8342" w14:textId="77777777" w:rsidR="00FD5D21" w:rsidRDefault="00FD5D21">
      <w:pPr>
        <w:pStyle w:val="TOC3"/>
        <w:tabs>
          <w:tab w:val="right" w:leader="dot" w:pos="8495"/>
        </w:tabs>
        <w:rPr>
          <w:noProof/>
        </w:rPr>
      </w:pPr>
      <w:r>
        <w:t>2.6.1 The Question Stage Four Leaves Open</w:t>
      </w:r>
      <w:r>
        <w:tab/>
        <w:t>19</w:t>
      </w:r>
    </w:p>
    <w:p w14:paraId="38342C35" w14:textId="77777777" w:rsidR="00FD5D21" w:rsidRDefault="00FD5D21">
      <w:pPr>
        <w:pStyle w:val="TOC3"/>
        <w:tabs>
          <w:tab w:val="right" w:leader="dot" w:pos="8495"/>
        </w:tabs>
        <w:rPr>
          <w:noProof/>
        </w:rPr>
      </w:pPr>
      <w:r>
        <w:t>2.6.2 Productive Failure and Adaptive Learning</w:t>
      </w:r>
      <w:r>
        <w:tab/>
        <w:t>19</w:t>
      </w:r>
    </w:p>
    <w:p w14:paraId="4490ADB1" w14:textId="77777777" w:rsidR="00FD5D21" w:rsidRDefault="00FD5D21">
      <w:pPr>
        <w:pStyle w:val="TOC3"/>
        <w:tabs>
          <w:tab w:val="right" w:leader="dot" w:pos="8495"/>
        </w:tabs>
        <w:rPr>
          <w:noProof/>
        </w:rPr>
      </w:pPr>
      <w:r>
        <w:t>2.6.2A The Theoretical Lineage of Adaptive Learning</w:t>
      </w:r>
      <w:r>
        <w:tab/>
        <w:t>19</w:t>
      </w:r>
    </w:p>
    <w:p w14:paraId="7D64413B" w14:textId="77777777" w:rsidR="00FD5D21" w:rsidRDefault="00FD5D21">
      <w:pPr>
        <w:pStyle w:val="TOC3"/>
        <w:tabs>
          <w:tab w:val="right" w:leader="dot" w:pos="8495"/>
        </w:tabs>
        <w:rPr>
          <w:noProof/>
        </w:rPr>
      </w:pPr>
      <w:r>
        <w:t>2.6.2B Self-Determination Theory and Goal-Setting as Motivational Scaffolding</w:t>
      </w:r>
      <w:r>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r>
      <w:r>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r>
      <w:r>
        <w:tab/>
        <w:t>21</w:t>
      </w:r>
    </w:p>
    <w:p w14:paraId="42A44F34" w14:textId="77777777" w:rsidR="00FD5D21" w:rsidRDefault="00FD5D21">
      <w:pPr>
        <w:pStyle w:val="TOC2"/>
        <w:tabs>
          <w:tab w:val="right" w:leader="dot" w:pos="8495"/>
        </w:tabs>
        <w:rPr>
          <w:noProof/>
        </w:rPr>
      </w:pPr>
      <w:r>
        <w:t>2.7 Supporting Evidence and Adjacent Frameworks</w:t>
      </w:r>
      <w:r>
        <w:tab/>
        <w:t>22</w:t>
      </w:r>
    </w:p>
    <w:p w14:paraId="347F4CF1" w14:textId="77777777" w:rsidR="00FD5D21" w:rsidRDefault="00FD5D21">
      <w:pPr>
        <w:pStyle w:val="TOC3"/>
        <w:tabs>
          <w:tab w:val="right" w:leader="dot" w:pos="8495"/>
        </w:tabs>
        <w:rPr>
          <w:noProof/>
        </w:rPr>
      </w:pPr>
      <w:r>
        <w:t>2.7.1 Gamification for Older Adults: The Koivisto and Malik Review</w:t>
      </w:r>
      <w:r>
        <w:tab/>
        <w:t>22</w:t>
      </w:r>
    </w:p>
    <w:p w14:paraId="12B7853B" w14:textId="77777777" w:rsidR="00FD5D21" w:rsidRDefault="00FD5D21">
      <w:pPr>
        <w:pStyle w:val="TOC3"/>
        <w:tabs>
          <w:tab w:val="right" w:leader="dot" w:pos="8495"/>
        </w:tabs>
        <w:rPr>
          <w:noProof/>
        </w:rPr>
      </w:pPr>
      <w:r>
        <w:t>2.7.2 The NASSS Framework: Documented Abandonment Without a Mechanism</w:t>
      </w:r>
      <w:r>
        <w:tab/>
        <w:t>22</w:t>
      </w:r>
    </w:p>
    <w:p w14:paraId="257EED72" w14:textId="77777777" w:rsidR="00FD5D21" w:rsidRDefault="00FD5D21">
      <w:pPr>
        <w:pStyle w:val="TOC3"/>
        <w:tabs>
          <w:tab w:val="right" w:leader="dot" w:pos="8495"/>
        </w:tabs>
        <w:rPr>
          <w:noProof/>
        </w:rPr>
      </w:pPr>
      <w:r>
        <w:t>2.7.3 Cross-Cultural Reference: The Korean Comparison</w:t>
      </w:r>
      <w:r>
        <w:tab/>
        <w:t>23</w:t>
      </w:r>
    </w:p>
    <w:p w14:paraId="1167ED0F" w14:textId="77777777" w:rsidR="00FD5D21" w:rsidRDefault="00FD5D21">
      <w:pPr>
        <w:pStyle w:val="TOC3"/>
        <w:tabs>
          <w:tab w:val="right" w:leader="dot" w:pos="8495"/>
        </w:tabs>
        <w:rPr>
          <w:noProof/>
        </w:rPr>
      </w:pPr>
      <w:r>
        <w:t>2.7.4 Information Entropy as a Bridge Lens</w:t>
      </w:r>
      <w:r>
        <w:tab/>
        <w:t>23</w:t>
      </w:r>
    </w:p>
    <w:p w14:paraId="5AFE063B" w14:textId="77777777" w:rsidR="00FD5D21" w:rsidRDefault="00FD5D21">
      <w:pPr>
        <w:pStyle w:val="TOC2"/>
        <w:tabs>
          <w:tab w:val="right" w:leader="dot" w:pos="8495"/>
        </w:tabs>
        <w:rPr>
          <w:noProof/>
        </w:rPr>
      </w:pPr>
      <w:r>
        <w:t>2.8 Synthesis: The Five-Stage Transformative Argument</w:t>
      </w:r>
      <w:r>
        <w:tab/>
        <w:t>23</w:t>
      </w:r>
    </w:p>
    <w:p w14:paraId="5E41DE99" w14:textId="77777777" w:rsidR="00FD5D21" w:rsidRDefault="00FD5D21">
      <w:pPr>
        <w:pStyle w:val="TOC1"/>
        <w:tabs>
          <w:tab w:val="right" w:leader="dot" w:pos="8495"/>
        </w:tabs>
        <w:rPr>
          <w:noProof/>
        </w:rPr>
      </w:pPr>
      <w:r>
        <w:t>Chapter 3 Research Methodology</w:t>
      </w:r>
      <w:r>
        <w:tab/>
        <w:t>25</w:t>
      </w:r>
    </w:p>
    <w:p w14:paraId="20057345" w14:textId="77777777" w:rsidR="00FD5D21" w:rsidRDefault="00FD5D21">
      <w:pPr>
        <w:pStyle w:val="TOC2"/>
        <w:tabs>
          <w:tab w:val="right" w:leader="dot" w:pos="8495"/>
        </w:tabs>
        <w:rPr>
          <w:noProof/>
        </w:rPr>
      </w:pPr>
      <w:r>
        <w:t>3.1 Action Research as the Methodological Frame</w:t>
      </w:r>
      <w:r>
        <w:tab/>
        <w:t>25</w:t>
      </w:r>
    </w:p>
    <w:p w14:paraId="0C23CFD3" w14:textId="77777777" w:rsidR="00FD5D21" w:rsidRDefault="00FD5D21">
      <w:pPr>
        <w:pStyle w:val="TOC2"/>
        <w:tabs>
          <w:tab w:val="right" w:leader="dot" w:pos="8495"/>
        </w:tabs>
        <w:rPr>
          <w:noProof/>
        </w:rPr>
      </w:pPr>
      <w:r>
        <w:t>3.2 Three-Stage Design</w:t>
      </w:r>
      <w:r>
        <w:tab/>
        <w:t>25</w:t>
      </w:r>
    </w:p>
    <w:p w14:paraId="54E87624" w14:textId="77777777" w:rsidR="00FD5D21" w:rsidRDefault="00FD5D21">
      <w:pPr>
        <w:pStyle w:val="TOC2"/>
        <w:tabs>
          <w:tab w:val="right" w:leader="dot" w:pos="8495"/>
        </w:tabs>
        <w:rPr>
          <w:noProof/>
        </w:rPr>
      </w:pPr>
      <w:r>
        <w:t>3.3 Methodology Overview Infographic</w:t>
      </w:r>
      <w:r>
        <w:tab/>
        <w:t>26</w:t>
      </w:r>
    </w:p>
    <w:p w14:paraId="75092E86" w14:textId="77777777" w:rsidR="00FD5D21" w:rsidRDefault="00FD5D21">
      <w:pPr>
        <w:pStyle w:val="TOC2"/>
        <w:tabs>
          <w:tab w:val="right" w:leader="dot" w:pos="8495"/>
        </w:tabs>
        <w:rPr>
          <w:noProof/>
        </w:rPr>
      </w:pPr>
      <w:r>
        <w:t>3.4 Ethics, Consent, Data Governance</w:t>
      </w:r>
      <w:r>
        <w:tab/>
        <w:t>26</w:t>
      </w:r>
    </w:p>
    <w:p w14:paraId="7C4AB6A6" w14:textId="77777777" w:rsidR="00FD5D21" w:rsidRDefault="00FD5D21">
      <w:pPr>
        <w:pStyle w:val="TOC2"/>
        <w:tabs>
          <w:tab w:val="right" w:leader="dot" w:pos="8495"/>
        </w:tabs>
        <w:rPr>
          <w:noProof/>
        </w:rPr>
      </w:pPr>
      <w:r>
        <w:t>3.5 Methodological Limits and Mitigations</w:t>
      </w:r>
      <w:r>
        <w:tab/>
        <w:t>27</w:t>
      </w:r>
    </w:p>
    <w:p w14:paraId="594DF4C4" w14:textId="77777777" w:rsidR="00FD5D21" w:rsidRDefault="00FD5D21">
      <w:pPr>
        <w:pStyle w:val="TOC2"/>
        <w:tabs>
          <w:tab w:val="right" w:leader="dot" w:pos="8495"/>
        </w:tabs>
        <w:rPr>
          <w:noProof/>
        </w:rPr>
      </w:pPr>
      <w:r>
        <w:t>3.6 An Instrumentation Roadmap for the Adaptive-Learning Claim</w:t>
      </w:r>
      <w:r>
        <w:tab/>
        <w:t>27</w:t>
      </w:r>
    </w:p>
    <w:p w14:paraId="1EB3E3CA" w14:textId="77777777" w:rsidR="00FD5D21" w:rsidRDefault="00FD5D21">
      <w:pPr>
        <w:pStyle w:val="TOC1"/>
        <w:tabs>
          <w:tab w:val="right" w:leader="dot" w:pos="8495"/>
        </w:tabs>
        <w:rPr>
          <w:noProof/>
        </w:rPr>
      </w:pPr>
      <w:r>
        <w:t>Chapter 4 Stage 1 — From FIDS to FIAS</w:t>
      </w:r>
      <w:r>
        <w:tab/>
        <w:t>28</w:t>
      </w:r>
    </w:p>
    <w:p w14:paraId="76367507" w14:textId="77777777" w:rsidR="00FD5D21" w:rsidRDefault="00FD5D21">
      <w:pPr>
        <w:pStyle w:val="TOC2"/>
        <w:tabs>
          <w:tab w:val="right" w:leader="dot" w:pos="8495"/>
        </w:tabs>
        <w:rPr>
          <w:noProof/>
        </w:rPr>
      </w:pPr>
      <w:r>
        <w:t>4.1 Purpose</w:t>
      </w:r>
      <w:r>
        <w:tab/>
        <w:t>28</w:t>
      </w:r>
    </w:p>
    <w:p w14:paraId="223473AC" w14:textId="77777777" w:rsidR="00FD5D21" w:rsidRDefault="00FD5D21">
      <w:pPr>
        <w:pStyle w:val="TOC2"/>
        <w:tabs>
          <w:tab w:val="right" w:leader="dot" w:pos="8495"/>
        </w:tabs>
        <w:rPr>
          <w:noProof/>
        </w:rPr>
      </w:pPr>
      <w:r>
        <w:t>4.1A What is Fall Risk Assessment (FRA)? Basic System Design and Features</w:t>
      </w:r>
      <w:r>
        <w:tab/>
        <w:t>29</w:t>
      </w:r>
    </w:p>
    <w:p w14:paraId="51465723" w14:textId="77777777" w:rsidR="00FD5D21" w:rsidRDefault="00FD5D21">
      <w:pPr>
        <w:pStyle w:val="TOC2"/>
        <w:tabs>
          <w:tab w:val="right" w:leader="dot" w:pos="8495"/>
        </w:tabs>
        <w:rPr>
          <w:noProof/>
        </w:rPr>
      </w:pPr>
      <w:r>
        <w:t>4.2 The Guangzhou Survey (N ≈ 200)</w:t>
      </w:r>
      <w:r>
        <w:tab/>
        <w:t>31</w:t>
      </w:r>
    </w:p>
    <w:p w14:paraId="1289C8C3" w14:textId="77777777" w:rsidR="00FD5D21" w:rsidRDefault="00FD5D21">
      <w:pPr>
        <w:pStyle w:val="TOC2"/>
        <w:tabs>
          <w:tab w:val="right" w:leader="dot" w:pos="8495"/>
        </w:tabs>
        <w:rPr>
          <w:noProof/>
        </w:rPr>
      </w:pPr>
      <w:r>
        <w:t>4.3 TAM, STAM and the Limitation for Retired Users</w:t>
      </w:r>
      <w:r>
        <w:tab/>
        <w:t>32</w:t>
      </w:r>
    </w:p>
    <w:p w14:paraId="4AE79BA9" w14:textId="77777777" w:rsidR="00FD5D21" w:rsidRDefault="00FD5D21">
      <w:pPr>
        <w:pStyle w:val="TOC2"/>
        <w:tabs>
          <w:tab w:val="right" w:leader="dot" w:pos="8495"/>
        </w:tabs>
        <w:rPr>
          <w:noProof/>
        </w:rPr>
      </w:pPr>
      <w:r>
        <w:t>4.4 Octalysis and the In-Game Loss Assumption</w:t>
      </w:r>
      <w:r>
        <w:tab/>
        <w:t>32</w:t>
      </w:r>
    </w:p>
    <w:p w14:paraId="324B6C6D" w14:textId="77777777" w:rsidR="00FD5D21" w:rsidRDefault="00FD5D21">
      <w:pPr>
        <w:pStyle w:val="TOC2"/>
        <w:tabs>
          <w:tab w:val="right" w:leader="dot" w:pos="8495"/>
        </w:tabs>
        <w:rPr>
          <w:noProof/>
        </w:rPr>
      </w:pPr>
      <w:r>
        <w:t>4.5 Behavioural Science Lenses</w:t>
      </w:r>
      <w:r>
        <w:tab/>
        <w:t>33</w:t>
      </w:r>
    </w:p>
    <w:p w14:paraId="128B56C2" w14:textId="77777777" w:rsidR="00FD5D21" w:rsidRDefault="00FD5D21">
      <w:pPr>
        <w:pStyle w:val="TOC2"/>
        <w:tabs>
          <w:tab w:val="right" w:leader="dot" w:pos="8495"/>
        </w:tabs>
        <w:rPr>
          <w:noProof/>
        </w:rPr>
      </w:pPr>
      <w:r>
        <w:t>4.6 Terminological Correction: FIDS to FIAS</w:t>
      </w:r>
      <w:r>
        <w:tab/>
        <w:t>33</w:t>
      </w:r>
    </w:p>
    <w:p w14:paraId="068C1D0F" w14:textId="77777777" w:rsidR="00FD5D21" w:rsidRDefault="00FD5D21">
      <w:pPr>
        <w:pStyle w:val="TOC2"/>
        <w:tabs>
          <w:tab w:val="right" w:leader="dot" w:pos="8495"/>
        </w:tabs>
        <w:rPr>
          <w:noProof/>
        </w:rPr>
      </w:pPr>
      <w:r>
        <w:t>4.7 Cross-Cultural Reference Point</w:t>
      </w:r>
      <w:r>
        <w:tab/>
        <w:t>34</w:t>
      </w:r>
    </w:p>
    <w:p w14:paraId="48436DFD" w14:textId="77777777" w:rsidR="00FD5D21" w:rsidRDefault="00FD5D21">
      <w:pPr>
        <w:pStyle w:val="TOC2"/>
        <w:tabs>
          <w:tab w:val="right" w:leader="dot" w:pos="8495"/>
        </w:tabs>
        <w:rPr>
          <w:noProof/>
        </w:rPr>
      </w:pPr>
      <w:r>
        <w:t>4.8 Output and Stage-1 Limitations</w:t>
      </w:r>
      <w:r>
        <w:tab/>
        <w:t>34</w:t>
      </w:r>
    </w:p>
    <w:p w14:paraId="5DDF5CD3" w14:textId="77777777" w:rsidR="00FD5D21" w:rsidRDefault="00FD5D21">
      <w:pPr>
        <w:pStyle w:val="TOC1"/>
        <w:tabs>
          <w:tab w:val="right" w:leader="dot" w:pos="8495"/>
        </w:tabs>
        <w:rPr>
          <w:noProof/>
        </w:rPr>
      </w:pPr>
      <w:r>
        <w:t>Chapter 5 Stage 2 — Action Research with Gamified FRA</w:t>
      </w:r>
      <w:r>
        <w:tab/>
        <w:t>35</w:t>
      </w:r>
    </w:p>
    <w:p w14:paraId="5CF8E34B" w14:textId="77777777" w:rsidR="00FD5D21" w:rsidRDefault="00FD5D21">
      <w:pPr>
        <w:pStyle w:val="TOC2"/>
        <w:tabs>
          <w:tab w:val="right" w:leader="dot" w:pos="8495"/>
        </w:tabs>
        <w:rPr>
          <w:noProof/>
        </w:rPr>
      </w:pPr>
      <w:r>
        <w:t>5.1 Research Questions and Hypotheses</w:t>
      </w:r>
      <w:r>
        <w:tab/>
        <w:t>35</w:t>
      </w:r>
    </w:p>
    <w:p w14:paraId="53348983" w14:textId="77777777" w:rsidR="00FD5D21" w:rsidRDefault="00FD5D21">
      <w:pPr>
        <w:pStyle w:val="TOC2"/>
        <w:tabs>
          <w:tab w:val="right" w:leader="dot" w:pos="8495"/>
        </w:tabs>
        <w:rPr>
          <w:noProof/>
        </w:rPr>
      </w:pPr>
      <w:r>
        <w:lastRenderedPageBreak/>
        <w:t>5.2 Setting and Action-Research Approach</w:t>
      </w:r>
      <w:r>
        <w:tab/>
        <w:t>35</w:t>
      </w:r>
    </w:p>
    <w:p w14:paraId="218C5B8E" w14:textId="77777777" w:rsidR="00FD5D21" w:rsidRDefault="00FD5D21">
      <w:pPr>
        <w:pStyle w:val="TOC2"/>
        <w:tabs>
          <w:tab w:val="right" w:leader="dot" w:pos="8495"/>
        </w:tabs>
        <w:rPr>
          <w:noProof/>
        </w:rPr>
      </w:pPr>
      <w:r>
        <w:t>5.2A Integrating the FRA into the Skiing Game: The Dual-Purpose Mechanic in Detail</w:t>
      </w:r>
      <w:r>
        <w:tab/>
        <w:t>36</w:t>
      </w:r>
    </w:p>
    <w:p w14:paraId="20A11ED2" w14:textId="77777777" w:rsidR="00FD5D21" w:rsidRDefault="00FD5D21">
      <w:pPr>
        <w:pStyle w:val="TOC2"/>
        <w:tabs>
          <w:tab w:val="right" w:leader="dot" w:pos="8495"/>
        </w:tabs>
        <w:rPr>
          <w:noProof/>
        </w:rPr>
      </w:pPr>
      <w:r>
        <w:t>5.3 The Gamified Intervention — Skiing Game on the InBody Pressure Panel</w:t>
      </w:r>
      <w:r>
        <w:tab/>
        <w:t>39</w:t>
      </w:r>
    </w:p>
    <w:p w14:paraId="602815A9" w14:textId="77777777" w:rsidR="00FD5D21" w:rsidRDefault="00FD5D21">
      <w:pPr>
        <w:pStyle w:val="TOC3"/>
        <w:tabs>
          <w:tab w:val="right" w:leader="dot" w:pos="8495"/>
        </w:tabs>
        <w:rPr>
          <w:noProof/>
        </w:rPr>
      </w:pPr>
      <w:r>
        <w:t>5.3.1 The InBody Pressure Panel</w:t>
      </w:r>
      <w:r>
        <w:tab/>
        <w:t>40</w:t>
      </w:r>
    </w:p>
    <w:p w14:paraId="7CD3D726" w14:textId="77777777" w:rsidR="00FD5D21" w:rsidRDefault="00FD5D21">
      <w:pPr>
        <w:pStyle w:val="TOC3"/>
        <w:tabs>
          <w:tab w:val="right" w:leader="dot" w:pos="8495"/>
        </w:tabs>
        <w:rPr>
          <w:noProof/>
        </w:rPr>
      </w:pPr>
      <w:r>
        <w:t>5.3.2 Game Concept and Gameplay Loop</w:t>
      </w:r>
      <w:r>
        <w:tab/>
        <w:t>40</w:t>
      </w:r>
    </w:p>
    <w:p w14:paraId="65F1B614" w14:textId="77777777" w:rsidR="00FD5D21" w:rsidRDefault="00FD5D21">
      <w:pPr>
        <w:pStyle w:val="TOC3"/>
        <w:tabs>
          <w:tab w:val="right" w:leader="dot" w:pos="8495"/>
        </w:tabs>
        <w:rPr>
          <w:noProof/>
        </w:rPr>
      </w:pPr>
      <w:r>
        <w:t>5.3.3 On-Screen Display</w:t>
      </w:r>
      <w:r>
        <w:tab/>
        <w:t>40</w:t>
      </w:r>
    </w:p>
    <w:p w14:paraId="04E2FF0D" w14:textId="77777777" w:rsidR="00FD5D21" w:rsidRDefault="00FD5D21">
      <w:pPr>
        <w:pStyle w:val="TOC3"/>
        <w:tabs>
          <w:tab w:val="right" w:leader="dot" w:pos="8495"/>
        </w:tabs>
        <w:rPr>
          <w:noProof/>
        </w:rPr>
      </w:pPr>
      <w:r>
        <w:t>5.3.4 Five-Layer Architecture</w:t>
      </w:r>
      <w:r>
        <w:tab/>
        <w:t>41</w:t>
      </w:r>
    </w:p>
    <w:p w14:paraId="135F4AC6" w14:textId="77777777" w:rsidR="00FD5D21" w:rsidRDefault="00FD5D21">
      <w:pPr>
        <w:pStyle w:val="TOC3"/>
        <w:tabs>
          <w:tab w:val="right" w:leader="dot" w:pos="8495"/>
        </w:tabs>
        <w:rPr>
          <w:noProof/>
        </w:rPr>
      </w:pPr>
      <w:r>
        <w:t>5.3.5 Automatic Difficulty Adjustment System</w:t>
      </w:r>
      <w:r>
        <w:tab/>
        <w:t>42</w:t>
      </w:r>
    </w:p>
    <w:p w14:paraId="49C4587C" w14:textId="77777777" w:rsidR="00FD5D21" w:rsidRDefault="00FD5D21">
      <w:pPr>
        <w:pStyle w:val="TOC3"/>
        <w:tabs>
          <w:tab w:val="right" w:leader="dot" w:pos="8495"/>
        </w:tabs>
        <w:rPr>
          <w:noProof/>
        </w:rPr>
      </w:pPr>
      <w:r>
        <w:t>5.3.6 Data Structures and Telemetry</w:t>
      </w:r>
      <w:r>
        <w:tab/>
        <w:t>43</w:t>
      </w:r>
    </w:p>
    <w:p w14:paraId="0C835CA0" w14:textId="77777777" w:rsidR="00FD5D21" w:rsidRDefault="00FD5D21">
      <w:pPr>
        <w:pStyle w:val="TOC3"/>
        <w:tabs>
          <w:tab w:val="right" w:leader="dot" w:pos="8495"/>
        </w:tabs>
        <w:rPr>
          <w:noProof/>
        </w:rPr>
      </w:pPr>
      <w:r>
        <w:t>5.3.7 Sample User Profile</w:t>
      </w:r>
      <w:r>
        <w:tab/>
        <w:t>43</w:t>
      </w:r>
    </w:p>
    <w:p w14:paraId="268515DB" w14:textId="77777777" w:rsidR="00FD5D21" w:rsidRDefault="00FD5D21">
      <w:pPr>
        <w:pStyle w:val="TOC3"/>
        <w:tabs>
          <w:tab w:val="right" w:leader="dot" w:pos="8495"/>
        </w:tabs>
        <w:rPr>
          <w:noProof/>
        </w:rPr>
      </w:pPr>
      <w:r>
        <w:t>5.3.8 Why a Skiing Game?</w:t>
      </w:r>
      <w:r>
        <w:tab/>
        <w:t>44</w:t>
      </w:r>
    </w:p>
    <w:p w14:paraId="5AA44115" w14:textId="77777777" w:rsidR="00FD5D21" w:rsidRDefault="00FD5D21">
      <w:pPr>
        <w:pStyle w:val="TOC3"/>
        <w:tabs>
          <w:tab w:val="right" w:leader="dot" w:pos="8495"/>
        </w:tabs>
        <w:rPr>
          <w:noProof/>
        </w:rPr>
      </w:pPr>
      <w:r>
        <w:t>5.3.9 Development Methodology: The Claude Code-Assisted Workflow</w:t>
      </w:r>
      <w:r>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r>
      <w:r>
        <w:tab/>
        <w:t>46</w:t>
      </w:r>
    </w:p>
    <w:p w14:paraId="3FCD6178" w14:textId="77777777" w:rsidR="00FD5D21" w:rsidRDefault="00FD5D21">
      <w:pPr>
        <w:pStyle w:val="TOC2"/>
        <w:tabs>
          <w:tab w:val="right" w:leader="dot" w:pos="8495"/>
        </w:tabs>
        <w:rPr>
          <w:noProof/>
        </w:rPr>
      </w:pPr>
      <w:r>
        <w:t>5.4 Participants and Data Governance</w:t>
      </w:r>
      <w:r>
        <w:tab/>
        <w:t>48</w:t>
      </w:r>
    </w:p>
    <w:p w14:paraId="45211AF9" w14:textId="77777777" w:rsidR="00FD5D21" w:rsidRDefault="00FD5D21">
      <w:pPr>
        <w:pStyle w:val="TOC2"/>
        <w:tabs>
          <w:tab w:val="right" w:leader="dot" w:pos="8495"/>
        </w:tabs>
        <w:rPr>
          <w:noProof/>
        </w:rPr>
      </w:pPr>
      <w:r>
        <w:t>5.5 Quantitative Findings</w:t>
      </w:r>
      <w:r>
        <w:tab/>
        <w:t>48</w:t>
      </w:r>
    </w:p>
    <w:p w14:paraId="2214AF41" w14:textId="77777777" w:rsidR="00FD5D21" w:rsidRDefault="00FD5D21">
      <w:pPr>
        <w:pStyle w:val="TOC2"/>
        <w:tabs>
          <w:tab w:val="right" w:leader="dot" w:pos="8495"/>
        </w:tabs>
        <w:rPr>
          <w:noProof/>
        </w:rPr>
      </w:pPr>
      <w:r>
        <w:t>5.6 The F4 Cluster and the Objective-Score-Improvement/Non-Return Paradox</w:t>
      </w:r>
      <w:r>
        <w:tab/>
        <w:t>50</w:t>
      </w:r>
    </w:p>
    <w:p w14:paraId="0E942091" w14:textId="77777777" w:rsidR="00FD5D21" w:rsidRDefault="00FD5D21">
      <w:pPr>
        <w:pStyle w:val="TOC2"/>
        <w:tabs>
          <w:tab w:val="right" w:leader="dot" w:pos="8495"/>
        </w:tabs>
        <w:rPr>
          <w:noProof/>
        </w:rPr>
      </w:pPr>
      <w:r>
        <w:t>5.7 Theoretical Extension: Endowment, Stereotype Threat, Domain Reframing</w:t>
      </w:r>
      <w:r>
        <w:tab/>
        <w:t>51</w:t>
      </w:r>
    </w:p>
    <w:p w14:paraId="63B206E2" w14:textId="77777777" w:rsidR="00FD5D21" w:rsidRDefault="00FD5D21">
      <w:pPr>
        <w:pStyle w:val="TOC2"/>
        <w:tabs>
          <w:tab w:val="right" w:leader="dot" w:pos="8495"/>
        </w:tabs>
        <w:rPr>
          <w:noProof/>
        </w:rPr>
      </w:pPr>
      <w:r>
        <w:t>5.8 Information-Entropy Lens</w:t>
      </w:r>
      <w:r>
        <w:tab/>
        <w:t>52</w:t>
      </w:r>
    </w:p>
    <w:p w14:paraId="3FBEEC62" w14:textId="77777777" w:rsidR="00FD5D21" w:rsidRDefault="00FD5D21">
      <w:pPr>
        <w:pStyle w:val="TOC2"/>
        <w:tabs>
          <w:tab w:val="right" w:leader="dot" w:pos="8495"/>
        </w:tabs>
        <w:rPr>
          <w:noProof/>
        </w:rPr>
      </w:pPr>
      <w:r>
        <w:t>5.9 Limitations and What Stage 2 Establishes</w:t>
      </w:r>
      <w:r>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r>
      <w:r>
        <w:tab/>
        <w:t>54</w:t>
      </w:r>
    </w:p>
    <w:p w14:paraId="21F096B2" w14:textId="77777777" w:rsidR="00FD5D21" w:rsidRDefault="00FD5D21">
      <w:pPr>
        <w:pStyle w:val="TOC2"/>
        <w:tabs>
          <w:tab w:val="right" w:leader="dot" w:pos="8495"/>
        </w:tabs>
        <w:rPr>
          <w:noProof/>
        </w:rPr>
      </w:pPr>
      <w:r>
        <w:t>6.1 Why a Decoupling Stage</w:t>
      </w:r>
      <w:r>
        <w:tab/>
        <w:t>54</w:t>
      </w:r>
    </w:p>
    <w:p w14:paraId="25D1F2BF" w14:textId="77777777" w:rsidR="00FD5D21" w:rsidRDefault="00FD5D21">
      <w:pPr>
        <w:pStyle w:val="TOC2"/>
        <w:tabs>
          <w:tab w:val="right" w:leader="dot" w:pos="8495"/>
        </w:tabs>
        <w:rPr>
          <w:noProof/>
        </w:rPr>
      </w:pPr>
      <w:r>
        <w:t>6.2 Research Question and Predictions</w:t>
      </w:r>
      <w:r>
        <w:tab/>
        <w:t>54</w:t>
      </w:r>
    </w:p>
    <w:p w14:paraId="025A5930" w14:textId="77777777" w:rsidR="00FD5D21" w:rsidRDefault="00FD5D21">
      <w:pPr>
        <w:pStyle w:val="TOC2"/>
        <w:tabs>
          <w:tab w:val="right" w:leader="dot" w:pos="8495"/>
        </w:tabs>
        <w:rPr>
          <w:noProof/>
        </w:rPr>
      </w:pPr>
      <w:r>
        <w:t>6.3 Methodology: A Participant-Facing Decoupling Package in a Separate Cohort</w:t>
      </w:r>
      <w:r>
        <w:tab/>
        <w:t>54</w:t>
      </w:r>
    </w:p>
    <w:p w14:paraId="5F1C4B12" w14:textId="77777777" w:rsidR="00FD5D21" w:rsidRDefault="00FD5D21">
      <w:pPr>
        <w:pStyle w:val="TOC2"/>
        <w:tabs>
          <w:tab w:val="right" w:leader="dot" w:pos="8495"/>
        </w:tabs>
        <w:rPr>
          <w:noProof/>
        </w:rPr>
      </w:pPr>
      <w:r>
        <w:t>6.4 Participants and Apparatus</w:t>
      </w:r>
      <w:r>
        <w:tab/>
        <w:t>55</w:t>
      </w:r>
    </w:p>
    <w:p w14:paraId="5B78DA11" w14:textId="77777777" w:rsidR="00FD5D21" w:rsidRDefault="00FD5D21">
      <w:pPr>
        <w:pStyle w:val="TOC2"/>
        <w:tabs>
          <w:tab w:val="right" w:leader="dot" w:pos="8495"/>
        </w:tabs>
        <w:rPr>
          <w:noProof/>
        </w:rPr>
      </w:pPr>
      <w:r>
        <w:t>6.5 Findings: A Substantial Behavioural Shift</w:t>
      </w:r>
      <w:r>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r>
      <w:r>
        <w:tab/>
        <w:t>57</w:t>
      </w:r>
    </w:p>
    <w:p w14:paraId="698D63E6" w14:textId="77777777" w:rsidR="00FD5D21" w:rsidRDefault="00FD5D21">
      <w:pPr>
        <w:pStyle w:val="TOC2"/>
        <w:tabs>
          <w:tab w:val="right" w:leader="dot" w:pos="8495"/>
        </w:tabs>
        <w:rPr>
          <w:noProof/>
        </w:rPr>
      </w:pPr>
      <w:r>
        <w:t>6.7 Frame-Sensitive versus Dispositional Accounts: Calibrated Inference</w:t>
      </w:r>
      <w:r>
        <w:tab/>
        <w:t>58</w:t>
      </w:r>
    </w:p>
    <w:p w14:paraId="703E60AB" w14:textId="77777777" w:rsidR="00FD5D21" w:rsidRDefault="00FD5D21">
      <w:pPr>
        <w:pStyle w:val="TOC2"/>
        <w:tabs>
          <w:tab w:val="right" w:leader="dot" w:pos="8495"/>
        </w:tabs>
        <w:rPr>
          <w:noProof/>
        </w:rPr>
      </w:pPr>
      <w:r>
        <w:t>6.8 The Commitment Gap and Its Design Implication</w:t>
      </w:r>
      <w:r>
        <w:tab/>
        <w:t>58</w:t>
      </w:r>
    </w:p>
    <w:p w14:paraId="240F7277" w14:textId="77777777" w:rsidR="00FD5D21" w:rsidRDefault="00FD5D21">
      <w:pPr>
        <w:pStyle w:val="TOC2"/>
        <w:tabs>
          <w:tab w:val="right" w:leader="dot" w:pos="8495"/>
        </w:tabs>
        <w:rPr>
          <w:noProof/>
        </w:rPr>
      </w:pPr>
      <w:r>
        <w:t>6.9 Limitations of Stage 3</w:t>
      </w:r>
      <w:r>
        <w:tab/>
        <w:t>59</w:t>
      </w:r>
    </w:p>
    <w:p w14:paraId="7FA6F9BF" w14:textId="77777777" w:rsidR="00FD5D21" w:rsidRDefault="00FD5D21">
      <w:pPr>
        <w:pStyle w:val="TOC2"/>
        <w:tabs>
          <w:tab w:val="right" w:leader="dot" w:pos="8495"/>
        </w:tabs>
        <w:rPr>
          <w:noProof/>
        </w:rPr>
      </w:pPr>
      <w:r>
        <w:t>6.10 Quantitative Comparison Against Existing Models</w:t>
      </w:r>
      <w:r>
        <w:tab/>
        <w:t>59</w:t>
      </w:r>
    </w:p>
    <w:p w14:paraId="43C80F45" w14:textId="77777777" w:rsidR="00FD5D21" w:rsidRDefault="00FD5D21">
      <w:pPr>
        <w:pStyle w:val="TOC3"/>
        <w:tabs>
          <w:tab w:val="right" w:leader="dot" w:pos="8495"/>
        </w:tabs>
        <w:rPr>
          <w:noProof/>
        </w:rPr>
      </w:pPr>
      <w:r>
        <w:t>6.10.1 Three-Tier Nested Model Specification</w:t>
      </w:r>
      <w:r>
        <w:tab/>
        <w:t>60</w:t>
      </w:r>
    </w:p>
    <w:p w14:paraId="6CFE9FB5" w14:textId="77777777" w:rsidR="00FD5D21" w:rsidRDefault="00FD5D21">
      <w:pPr>
        <w:pStyle w:val="TOC3"/>
        <w:tabs>
          <w:tab w:val="right" w:leader="dot" w:pos="8495"/>
        </w:tabs>
        <w:rPr>
          <w:noProof/>
        </w:rPr>
      </w:pPr>
      <w:r>
        <w:t>6.10.2 Statistical Comparison Plan</w:t>
      </w:r>
      <w:r>
        <w:tab/>
        <w:t>61</w:t>
      </w:r>
    </w:p>
    <w:p w14:paraId="7F41D431" w14:textId="77777777" w:rsidR="00FD5D21" w:rsidRDefault="00FD5D21">
      <w:pPr>
        <w:pStyle w:val="TOC3"/>
        <w:tabs>
          <w:tab w:val="right" w:leader="dot" w:pos="8495"/>
        </w:tabs>
        <w:rPr>
          <w:noProof/>
        </w:rPr>
      </w:pPr>
      <w:r>
        <w:t>6.10.3 Decision-Curve Analysis and Practical Significance</w:t>
      </w:r>
      <w:r>
        <w:tab/>
        <w:t>61</w:t>
      </w:r>
    </w:p>
    <w:p w14:paraId="1B765C28" w14:textId="77777777" w:rsidR="00FD5D21" w:rsidRDefault="00FD5D21">
      <w:pPr>
        <w:pStyle w:val="TOC3"/>
        <w:tabs>
          <w:tab w:val="right" w:leader="dot" w:pos="8495"/>
        </w:tabs>
        <w:rPr>
          <w:noProof/>
        </w:rPr>
      </w:pPr>
      <w:r>
        <w:t>6.10.4 Pre-Specified Predictions</w:t>
      </w:r>
      <w:r>
        <w:tab/>
        <w:t>61</w:t>
      </w:r>
    </w:p>
    <w:p w14:paraId="26BA23DA" w14:textId="77777777" w:rsidR="00FD5D21" w:rsidRDefault="00FD5D21">
      <w:pPr>
        <w:pStyle w:val="TOC3"/>
        <w:tabs>
          <w:tab w:val="right" w:leader="dot" w:pos="8495"/>
        </w:tabs>
        <w:rPr>
          <w:noProof/>
        </w:rPr>
      </w:pPr>
      <w:r>
        <w:t>6.10.5 Provisional Estimates from the Existing Datasets</w:t>
      </w:r>
      <w:r>
        <w:tab/>
        <w:t>61</w:t>
      </w:r>
    </w:p>
    <w:p w14:paraId="4DFE3A4F" w14:textId="77777777" w:rsidR="00FD5D21" w:rsidRDefault="00FD5D21">
      <w:pPr>
        <w:pStyle w:val="TOC2"/>
        <w:tabs>
          <w:tab w:val="right" w:leader="dot" w:pos="8495"/>
        </w:tabs>
        <w:rPr>
          <w:noProof/>
        </w:rPr>
      </w:pPr>
      <w:r>
        <w:t>6.11 Consolidated Statistical Results</w:t>
      </w:r>
      <w:r>
        <w:tab/>
        <w:t>62</w:t>
      </w:r>
    </w:p>
    <w:p w14:paraId="2D0FD9EB" w14:textId="77777777" w:rsidR="00FD5D21" w:rsidRDefault="00FD5D21">
      <w:pPr>
        <w:pStyle w:val="TOC1"/>
        <w:tabs>
          <w:tab w:val="right" w:leader="dot" w:pos="8495"/>
        </w:tabs>
        <w:rPr>
          <w:noProof/>
        </w:rPr>
      </w:pPr>
      <w:r>
        <w:t>Chapter 7 Discussion: Adaptive Learning and the Learning-Oriented Design Framework</w:t>
      </w:r>
      <w:r>
        <w:tab/>
        <w:t>64</w:t>
      </w:r>
    </w:p>
    <w:p w14:paraId="5427D174" w14:textId="77777777" w:rsidR="00FD5D21" w:rsidRDefault="00FD5D21">
      <w:pPr>
        <w:pStyle w:val="TOC2"/>
        <w:tabs>
          <w:tab w:val="right" w:leader="dot" w:pos="8495"/>
        </w:tabs>
        <w:rPr>
          <w:noProof/>
        </w:rPr>
      </w:pPr>
      <w:r>
        <w:t>7.1 Why the Empirical Programme Motivates Adaptive Learning</w:t>
      </w:r>
      <w:r>
        <w:tab/>
        <w:t>64</w:t>
      </w:r>
    </w:p>
    <w:p w14:paraId="169B3B1D" w14:textId="77777777" w:rsidR="00FD5D21" w:rsidRDefault="00FD5D21">
      <w:pPr>
        <w:pStyle w:val="TOC2"/>
        <w:tabs>
          <w:tab w:val="right" w:leader="dot" w:pos="8495"/>
        </w:tabs>
        <w:rPr>
          <w:noProof/>
        </w:rPr>
      </w:pPr>
      <w:r>
        <w:t>7.2 Adaptive Learning in the Gamification Literature</w:t>
      </w:r>
      <w:r>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r>
      <w:r>
        <w:tab/>
        <w:t>65</w:t>
      </w:r>
    </w:p>
    <w:p w14:paraId="5BBE227D" w14:textId="77777777" w:rsidR="00FD5D21" w:rsidRDefault="00FD5D21">
      <w:pPr>
        <w:pStyle w:val="TOC2"/>
        <w:tabs>
          <w:tab w:val="right" w:leader="dot" w:pos="8495"/>
        </w:tabs>
        <w:rPr>
          <w:noProof/>
        </w:rPr>
      </w:pPr>
      <w:r>
        <w:t>7.4 The Learning-Oriented Design Framework (LODF)</w:t>
      </w:r>
      <w:r>
        <w:tab/>
        <w:t>65</w:t>
      </w:r>
    </w:p>
    <w:p w14:paraId="283DF193" w14:textId="77777777" w:rsidR="00FD5D21" w:rsidRDefault="00FD5D21">
      <w:pPr>
        <w:pStyle w:val="TOC2"/>
        <w:tabs>
          <w:tab w:val="right" w:leader="dot" w:pos="8495"/>
        </w:tabs>
        <w:rPr>
          <w:noProof/>
        </w:rPr>
      </w:pPr>
      <w:r>
        <w:t>7.5 Prototype Stack: Engineering-Actionable LODF Implementation</w:t>
      </w:r>
      <w:r>
        <w:tab/>
        <w:t>66</w:t>
      </w:r>
    </w:p>
    <w:p w14:paraId="6B6957E9" w14:textId="77777777" w:rsidR="00FD5D21" w:rsidRDefault="00FD5D21">
      <w:pPr>
        <w:pStyle w:val="TOC3"/>
        <w:tabs>
          <w:tab w:val="right" w:leader="dot" w:pos="8495"/>
        </w:tabs>
        <w:rPr>
          <w:noProof/>
        </w:rPr>
      </w:pPr>
      <w:r>
        <w:t>7.5.1 Reference Stack</w:t>
      </w:r>
      <w:r>
        <w:tab/>
        <w:t>66</w:t>
      </w:r>
    </w:p>
    <w:p w14:paraId="435E78BC" w14:textId="77777777" w:rsidR="00FD5D21" w:rsidRDefault="00FD5D21">
      <w:pPr>
        <w:pStyle w:val="TOC3"/>
        <w:tabs>
          <w:tab w:val="right" w:leader="dot" w:pos="8495"/>
        </w:tabs>
        <w:rPr>
          <w:noProof/>
        </w:rPr>
      </w:pPr>
      <w:r>
        <w:t>7.5.2 Trajectory Visualisation Specification</w:t>
      </w:r>
      <w:r>
        <w:tab/>
        <w:t>68</w:t>
      </w:r>
    </w:p>
    <w:p w14:paraId="1A4A9E23" w14:textId="77777777" w:rsidR="00FD5D21" w:rsidRDefault="00FD5D21">
      <w:pPr>
        <w:pStyle w:val="TOC3"/>
        <w:tabs>
          <w:tab w:val="right" w:leader="dot" w:pos="8495"/>
        </w:tabs>
        <w:rPr>
          <w:noProof/>
        </w:rPr>
      </w:pPr>
      <w:r>
        <w:t>7.5.3 Coaching Protocol Specification</w:t>
      </w:r>
      <w:r>
        <w:tab/>
        <w:t>68</w:t>
      </w:r>
    </w:p>
    <w:p w14:paraId="3BA17663" w14:textId="77777777" w:rsidR="00FD5D21" w:rsidRDefault="00FD5D21">
      <w:pPr>
        <w:pStyle w:val="TOC2"/>
        <w:tabs>
          <w:tab w:val="right" w:leader="dot" w:pos="8495"/>
        </w:tabs>
        <w:rPr>
          <w:noProof/>
        </w:rPr>
      </w:pPr>
      <w:r>
        <w:t>7.6 Applied Case Studies</w:t>
      </w:r>
      <w:r>
        <w:tab/>
        <w:t>69</w:t>
      </w:r>
    </w:p>
    <w:p w14:paraId="3C478D5B" w14:textId="77777777" w:rsidR="00FD5D21" w:rsidRDefault="00FD5D21">
      <w:pPr>
        <w:pStyle w:val="TOC3"/>
        <w:tabs>
          <w:tab w:val="right" w:leader="dot" w:pos="8495"/>
        </w:tabs>
        <w:rPr>
          <w:noProof/>
        </w:rPr>
      </w:pPr>
      <w:r>
        <w:t>7.6.1 Case Study A — FRA Reaction Mode (in development)</w:t>
      </w:r>
      <w:r>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r>
      <w:r>
        <w:tab/>
        <w:t>69</w:t>
      </w:r>
    </w:p>
    <w:p w14:paraId="3ABF7E46" w14:textId="77777777" w:rsidR="00FD5D21" w:rsidRDefault="00FD5D21">
      <w:pPr>
        <w:pStyle w:val="TOC3"/>
        <w:tabs>
          <w:tab w:val="right" w:leader="dot" w:pos="8495"/>
        </w:tabs>
        <w:rPr>
          <w:noProof/>
        </w:rPr>
      </w:pPr>
      <w:r>
        <w:t>7.6.3 Case Study C — Sleep Tracker reframed as an Adventure Log (illustrative)</w:t>
      </w:r>
      <w:r>
        <w:tab/>
        <w:t>69</w:t>
      </w:r>
    </w:p>
    <w:p w14:paraId="5F5C0F68" w14:textId="77777777" w:rsidR="00FD5D21" w:rsidRDefault="00FD5D21">
      <w:pPr>
        <w:pStyle w:val="TOC3"/>
        <w:tabs>
          <w:tab w:val="right" w:leader="dot" w:pos="8495"/>
        </w:tabs>
        <w:rPr>
          <w:noProof/>
        </w:rPr>
      </w:pPr>
      <w:r>
        <w:t>7.6.4 Cross-Case Synthesis</w:t>
      </w:r>
      <w:r>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r>
      <w:r>
        <w:tab/>
        <w:t>70</w:t>
      </w:r>
    </w:p>
    <w:p w14:paraId="355BF347" w14:textId="77777777" w:rsidR="00FD5D21" w:rsidRDefault="00FD5D21">
      <w:pPr>
        <w:pStyle w:val="TOC2"/>
        <w:tabs>
          <w:tab w:val="right" w:leader="dot" w:pos="8495"/>
        </w:tabs>
        <w:rPr>
          <w:noProof/>
        </w:rPr>
      </w:pPr>
      <w:r>
        <w:t>7.7 Boundary Conditions and Risks</w:t>
      </w:r>
      <w:r>
        <w:tab/>
        <w:t>71</w:t>
      </w:r>
    </w:p>
    <w:p w14:paraId="2390C070" w14:textId="77777777" w:rsidR="00FD5D21" w:rsidRDefault="00FD5D21">
      <w:pPr>
        <w:pStyle w:val="TOC2"/>
        <w:tabs>
          <w:tab w:val="right" w:leader="dot" w:pos="8495"/>
        </w:tabs>
        <w:rPr>
          <w:noProof/>
        </w:rPr>
      </w:pPr>
      <w:r>
        <w:t>7.8 Sequencing of the Three Principles</w:t>
      </w:r>
      <w:r>
        <w:tab/>
        <w:t>72</w:t>
      </w:r>
    </w:p>
    <w:p w14:paraId="033353C5" w14:textId="77777777" w:rsidR="00FD5D21" w:rsidRDefault="00FD5D21">
      <w:pPr>
        <w:pStyle w:val="TOC2"/>
        <w:tabs>
          <w:tab w:val="right" w:leader="dot" w:pos="8495"/>
        </w:tabs>
        <w:rPr>
          <w:noProof/>
        </w:rPr>
      </w:pPr>
      <w:r>
        <w:t>7.9 Adaptive Learning as Continuous Improvement: Closing the Loop to the EngD Topic</w:t>
      </w:r>
      <w:r>
        <w:tab/>
        <w:t>72</w:t>
      </w:r>
    </w:p>
    <w:p w14:paraId="63216031" w14:textId="77777777" w:rsidR="00FD5D21" w:rsidRDefault="00FD5D21">
      <w:pPr>
        <w:pStyle w:val="TOC1"/>
        <w:tabs>
          <w:tab w:val="right" w:leader="dot" w:pos="8495"/>
        </w:tabs>
        <w:rPr>
          <w:noProof/>
        </w:rPr>
      </w:pPr>
      <w:r>
        <w:t>Chapter 8 Contributions, Alternative Explanations, Limitations and Ethics</w:t>
      </w:r>
      <w:r>
        <w:tab/>
        <w:t>74</w:t>
      </w:r>
    </w:p>
    <w:p w14:paraId="1274176A" w14:textId="77777777" w:rsidR="00FD5D21" w:rsidRDefault="00FD5D21">
      <w:pPr>
        <w:pStyle w:val="TOC2"/>
        <w:tabs>
          <w:tab w:val="right" w:leader="dot" w:pos="8495"/>
        </w:tabs>
        <w:rPr>
          <w:noProof/>
        </w:rPr>
      </w:pPr>
      <w:r>
        <w:t>8.1 Theoretical Contributions</w:t>
      </w:r>
      <w:r>
        <w:tab/>
        <w:t>74</w:t>
      </w:r>
    </w:p>
    <w:p w14:paraId="0AB2FF4C" w14:textId="77777777" w:rsidR="00FD5D21" w:rsidRDefault="00FD5D21">
      <w:pPr>
        <w:pStyle w:val="TOC2"/>
        <w:tabs>
          <w:tab w:val="right" w:leader="dot" w:pos="8495"/>
        </w:tabs>
        <w:rPr>
          <w:noProof/>
        </w:rPr>
      </w:pPr>
      <w:r>
        <w:t>8.2 Methodological Contributions</w:t>
      </w:r>
      <w:r>
        <w:tab/>
        <w:t>74</w:t>
      </w:r>
    </w:p>
    <w:p w14:paraId="0FF8CC85" w14:textId="77777777" w:rsidR="00FD5D21" w:rsidRDefault="00FD5D21">
      <w:pPr>
        <w:pStyle w:val="TOC2"/>
        <w:tabs>
          <w:tab w:val="right" w:leader="dot" w:pos="8495"/>
        </w:tabs>
        <w:rPr>
          <w:noProof/>
        </w:rPr>
      </w:pPr>
      <w:r>
        <w:t>8.3 Empirical Contributions</w:t>
      </w:r>
      <w:r>
        <w:tab/>
        <w:t>74</w:t>
      </w:r>
    </w:p>
    <w:p w14:paraId="56CACFD9" w14:textId="77777777" w:rsidR="00FD5D21" w:rsidRDefault="00FD5D21">
      <w:pPr>
        <w:pStyle w:val="TOC2"/>
        <w:tabs>
          <w:tab w:val="right" w:leader="dot" w:pos="8495"/>
        </w:tabs>
        <w:rPr>
          <w:noProof/>
        </w:rPr>
      </w:pPr>
      <w:r>
        <w:t>8.4 Industrial and Practical Contributions</w:t>
      </w:r>
      <w:r>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r>
      <w:r>
        <w:tab/>
        <w:t>75</w:t>
      </w:r>
    </w:p>
    <w:p w14:paraId="0AE11FEA" w14:textId="77777777" w:rsidR="00FD5D21" w:rsidRDefault="00FD5D21">
      <w:pPr>
        <w:pStyle w:val="TOC2"/>
        <w:tabs>
          <w:tab w:val="right" w:leader="dot" w:pos="8495"/>
        </w:tabs>
        <w:rPr>
          <w:noProof/>
        </w:rPr>
      </w:pPr>
      <w:r>
        <w:t>8.5 Alternative Explanations</w:t>
      </w:r>
      <w:r>
        <w:tab/>
        <w:t>76</w:t>
      </w:r>
    </w:p>
    <w:p w14:paraId="7992096E" w14:textId="77777777" w:rsidR="00FD5D21" w:rsidRDefault="00FD5D21">
      <w:pPr>
        <w:pStyle w:val="TOC3"/>
        <w:tabs>
          <w:tab w:val="right" w:leader="dot" w:pos="8495"/>
        </w:tabs>
        <w:rPr>
          <w:noProof/>
        </w:rPr>
      </w:pPr>
      <w:r>
        <w:t>8.5.1 Cohort Self-Selection</w:t>
      </w:r>
      <w:r>
        <w:tab/>
        <w:t>76</w:t>
      </w:r>
    </w:p>
    <w:p w14:paraId="7280AE5A" w14:textId="77777777" w:rsidR="00FD5D21" w:rsidRDefault="00FD5D21">
      <w:pPr>
        <w:pStyle w:val="TOC3"/>
        <w:tabs>
          <w:tab w:val="right" w:leader="dot" w:pos="8495"/>
        </w:tabs>
        <w:rPr>
          <w:noProof/>
        </w:rPr>
      </w:pPr>
      <w:r>
        <w:t>8.5.2 Novelty Effect</w:t>
      </w:r>
      <w:r>
        <w:tab/>
        <w:t>76</w:t>
      </w:r>
    </w:p>
    <w:p w14:paraId="4DADBA64" w14:textId="77777777" w:rsidR="00FD5D21" w:rsidRDefault="00FD5D21">
      <w:pPr>
        <w:pStyle w:val="TOC3"/>
        <w:tabs>
          <w:tab w:val="right" w:leader="dot" w:pos="8495"/>
        </w:tabs>
        <w:rPr>
          <w:noProof/>
        </w:rPr>
      </w:pPr>
      <w:r>
        <w:t>8.5.3 Demand Characteristics and Hawthorne Effect</w:t>
      </w:r>
      <w:r>
        <w:tab/>
        <w:t>76</w:t>
      </w:r>
    </w:p>
    <w:p w14:paraId="1CD4665F" w14:textId="77777777" w:rsidR="00FD5D21" w:rsidRDefault="00FD5D21">
      <w:pPr>
        <w:pStyle w:val="TOC3"/>
        <w:tabs>
          <w:tab w:val="right" w:leader="dot" w:pos="8495"/>
        </w:tabs>
        <w:rPr>
          <w:noProof/>
        </w:rPr>
      </w:pPr>
      <w:r>
        <w:t>8.5.4 Regression to the Mean</w:t>
      </w:r>
      <w:r>
        <w:tab/>
        <w:t>76</w:t>
      </w:r>
    </w:p>
    <w:p w14:paraId="1B680E66" w14:textId="77777777" w:rsidR="00FD5D21" w:rsidRDefault="00FD5D21">
      <w:pPr>
        <w:pStyle w:val="TOC3"/>
        <w:tabs>
          <w:tab w:val="right" w:leader="dot" w:pos="8495"/>
        </w:tabs>
        <w:rPr>
          <w:noProof/>
        </w:rPr>
      </w:pPr>
      <w:r>
        <w:t>8.5.5 Physical Fatigue and Motor-Learning Limits</w:t>
      </w:r>
      <w:r>
        <w:tab/>
        <w:t>77</w:t>
      </w:r>
    </w:p>
    <w:p w14:paraId="01FD2844" w14:textId="77777777" w:rsidR="00FD5D21" w:rsidRDefault="00FD5D21">
      <w:pPr>
        <w:pStyle w:val="TOC3"/>
        <w:tabs>
          <w:tab w:val="right" w:leader="dot" w:pos="8495"/>
        </w:tabs>
        <w:rPr>
          <w:noProof/>
        </w:rPr>
      </w:pPr>
      <w:r>
        <w:t>8.5.6 Language and Literacy Confounds</w:t>
      </w:r>
      <w:r>
        <w:tab/>
        <w:t>77</w:t>
      </w:r>
    </w:p>
    <w:p w14:paraId="67FE5792" w14:textId="77777777" w:rsidR="00FD5D21" w:rsidRDefault="00FD5D21">
      <w:pPr>
        <w:pStyle w:val="TOC3"/>
        <w:tabs>
          <w:tab w:val="right" w:leader="dot" w:pos="8495"/>
        </w:tabs>
        <w:rPr>
          <w:noProof/>
        </w:rPr>
      </w:pPr>
      <w:r>
        <w:t>8.5.7 Mechanism-Aspecific Just-Better-Design Alternative</w:t>
      </w:r>
      <w:r>
        <w:tab/>
        <w:t>77</w:t>
      </w:r>
    </w:p>
    <w:p w14:paraId="237275F4" w14:textId="77777777" w:rsidR="00FD5D21" w:rsidRDefault="00FD5D21">
      <w:pPr>
        <w:pStyle w:val="TOC2"/>
        <w:tabs>
          <w:tab w:val="right" w:leader="dot" w:pos="8495"/>
        </w:tabs>
        <w:rPr>
          <w:noProof/>
        </w:rPr>
      </w:pPr>
      <w:r>
        <w:t>8.6 Limitations</w:t>
      </w:r>
      <w:r>
        <w:tab/>
        <w:t>77</w:t>
      </w:r>
    </w:p>
    <w:p w14:paraId="7923CA0F" w14:textId="77777777" w:rsidR="00FD5D21" w:rsidRDefault="00FD5D21">
      <w:pPr>
        <w:pStyle w:val="TOC2"/>
        <w:tabs>
          <w:tab w:val="right" w:leader="dot" w:pos="8495"/>
        </w:tabs>
        <w:rPr>
          <w:noProof/>
        </w:rPr>
      </w:pPr>
      <w:r>
        <w:t>8.6A A Seventh Limitation: The Language-Mode Boundary of the Layer-2 AI</w:t>
      </w:r>
      <w:r>
        <w:tab/>
        <w:t>78</w:t>
      </w:r>
    </w:p>
    <w:p w14:paraId="6D0B9908" w14:textId="77777777" w:rsidR="00FD5D21" w:rsidRDefault="00FD5D21">
      <w:pPr>
        <w:pStyle w:val="TOC2"/>
        <w:tabs>
          <w:tab w:val="right" w:leader="dot" w:pos="8495"/>
        </w:tabs>
        <w:rPr>
          <w:noProof/>
        </w:rPr>
      </w:pPr>
      <w:r>
        <w:t>8.7 Ethical Considerations</w:t>
      </w:r>
      <w:r>
        <w:tab/>
        <w:t>78</w:t>
      </w:r>
    </w:p>
    <w:p w14:paraId="70FAC436" w14:textId="77777777" w:rsidR="00FD5D21" w:rsidRDefault="00FD5D21">
      <w:pPr>
        <w:pStyle w:val="TOC3"/>
        <w:tabs>
          <w:tab w:val="right" w:leader="dot" w:pos="8495"/>
        </w:tabs>
        <w:rPr>
          <w:noProof/>
        </w:rPr>
      </w:pPr>
      <w:r>
        <w:t>8.7.1 Vulnerability of Frail Older Adults</w:t>
      </w:r>
      <w:r>
        <w:tab/>
        <w:t>78</w:t>
      </w:r>
    </w:p>
    <w:p w14:paraId="5F4632A4" w14:textId="77777777" w:rsidR="00FD5D21" w:rsidRDefault="00FD5D21">
      <w:pPr>
        <w:pStyle w:val="TOC3"/>
        <w:tabs>
          <w:tab w:val="right" w:leader="dot" w:pos="8495"/>
        </w:tabs>
        <w:rPr>
          <w:noProof/>
        </w:rPr>
      </w:pPr>
      <w:r>
        <w:t>8.7.2 Decoupling and the Deception Question</w:t>
      </w:r>
      <w:r>
        <w:tab/>
        <w:t>79</w:t>
      </w:r>
    </w:p>
    <w:p w14:paraId="2311B47E" w14:textId="77777777" w:rsidR="00FD5D21" w:rsidRDefault="00FD5D21">
      <w:pPr>
        <w:pStyle w:val="TOC3"/>
        <w:tabs>
          <w:tab w:val="right" w:leader="dot" w:pos="8495"/>
        </w:tabs>
        <w:rPr>
          <w:noProof/>
        </w:rPr>
      </w:pPr>
      <w:r>
        <w:t>8.7.3 Autonomy, Dignity and the Right Not to Engage</w:t>
      </w:r>
      <w:r>
        <w:tab/>
        <w:t>79</w:t>
      </w:r>
    </w:p>
    <w:p w14:paraId="7946035C" w14:textId="77777777" w:rsidR="00FD5D21" w:rsidRDefault="00FD5D21">
      <w:pPr>
        <w:pStyle w:val="TOC3"/>
        <w:tabs>
          <w:tab w:val="right" w:leader="dot" w:pos="8495"/>
        </w:tabs>
        <w:rPr>
          <w:noProof/>
        </w:rPr>
      </w:pPr>
      <w:r>
        <w:t>8.7.4 Equity, Access and Deployment Risks</w:t>
      </w:r>
      <w:r>
        <w:tab/>
        <w:t>79</w:t>
      </w:r>
    </w:p>
    <w:p w14:paraId="0DFBEC77" w14:textId="77777777" w:rsidR="00FD5D21" w:rsidRDefault="00FD5D21">
      <w:pPr>
        <w:pStyle w:val="TOC3"/>
        <w:tabs>
          <w:tab w:val="right" w:leader="dot" w:pos="8495"/>
        </w:tabs>
        <w:rPr>
          <w:noProof/>
        </w:rPr>
      </w:pPr>
      <w:r>
        <w:lastRenderedPageBreak/>
        <w:t>8.7.5 Embedded Researcher Bias</w:t>
      </w:r>
      <w:r>
        <w:tab/>
        <w:t>79</w:t>
      </w:r>
    </w:p>
    <w:p w14:paraId="14AB5771" w14:textId="77777777" w:rsidR="00FD5D21" w:rsidRDefault="00FD5D21">
      <w:pPr>
        <w:pStyle w:val="TOC2"/>
        <w:tabs>
          <w:tab w:val="right" w:leader="dot" w:pos="8495"/>
        </w:tabs>
        <w:rPr>
          <w:noProof/>
        </w:rPr>
      </w:pPr>
      <w:r>
        <w:t>8.8 Future Research</w:t>
      </w:r>
      <w:r>
        <w:tab/>
        <w:t>80</w:t>
      </w:r>
    </w:p>
    <w:p w14:paraId="0C464519" w14:textId="77777777" w:rsidR="00FD5D21" w:rsidRDefault="00FD5D21">
      <w:pPr>
        <w:pStyle w:val="TOC2"/>
        <w:tabs>
          <w:tab w:val="right" w:leader="dot" w:pos="8495"/>
        </w:tabs>
        <w:rPr>
          <w:noProof/>
        </w:rPr>
      </w:pPr>
      <w:r>
        <w:t>8.9 Reproducibility and Data Availability</w:t>
      </w:r>
      <w:r>
        <w:tab/>
        <w:t>80</w:t>
      </w:r>
    </w:p>
    <w:p w14:paraId="7ED588A6" w14:textId="77777777" w:rsidR="00FD5D21" w:rsidRDefault="00FD5D21">
      <w:pPr>
        <w:pStyle w:val="TOC1"/>
        <w:tabs>
          <w:tab w:val="right" w:leader="dot" w:pos="8495"/>
        </w:tabs>
        <w:rPr>
          <w:noProof/>
        </w:rPr>
      </w:pPr>
      <w:r>
        <w:t>Chapter 9 Conclusion</w:t>
      </w:r>
      <w:r>
        <w:tab/>
        <w:t>82</w:t>
      </w:r>
    </w:p>
    <w:p w14:paraId="60E84DD3" w14:textId="77777777" w:rsidR="00FD5D21" w:rsidRDefault="00FD5D21">
      <w:pPr>
        <w:pStyle w:val="TOC2"/>
        <w:tabs>
          <w:tab w:val="right" w:leader="dot" w:pos="8495"/>
        </w:tabs>
        <w:rPr>
          <w:noProof/>
        </w:rPr>
      </w:pPr>
      <w:r>
        <w:t>9.1 What This Programme Set Out to Do</w:t>
      </w:r>
      <w:r>
        <w:tab/>
        <w:t>82</w:t>
      </w:r>
    </w:p>
    <w:p w14:paraId="4AFE8BB7" w14:textId="77777777" w:rsidR="00FD5D21" w:rsidRDefault="00FD5D21">
      <w:pPr>
        <w:pStyle w:val="TOC2"/>
        <w:tabs>
          <w:tab w:val="right" w:leader="dot" w:pos="8495"/>
        </w:tabs>
        <w:rPr>
          <w:noProof/>
        </w:rPr>
      </w:pPr>
      <w:r>
        <w:t>9.2 The Three-Stage Empirical Arc</w:t>
      </w:r>
      <w:r>
        <w:tab/>
        <w:t>82</w:t>
      </w:r>
    </w:p>
    <w:p w14:paraId="2242D32F" w14:textId="77777777" w:rsidR="00FD5D21" w:rsidRDefault="00FD5D21">
      <w:pPr>
        <w:pStyle w:val="TOC2"/>
        <w:tabs>
          <w:tab w:val="right" w:leader="dot" w:pos="8495"/>
        </w:tabs>
        <w:rPr>
          <w:noProof/>
        </w:rPr>
      </w:pPr>
      <w:r>
        <w:t>9.3 The Central Finding: Evidence Consistent with a Coupling or Framing Effect</w:t>
      </w:r>
      <w:r>
        <w:tab/>
        <w:t>83</w:t>
      </w:r>
    </w:p>
    <w:p w14:paraId="78AC7488" w14:textId="77777777" w:rsidR="00FD5D21" w:rsidRDefault="00FD5D21">
      <w:pPr>
        <w:pStyle w:val="TOC2"/>
        <w:tabs>
          <w:tab w:val="right" w:leader="dot" w:pos="8495"/>
        </w:tabs>
        <w:rPr>
          <w:noProof/>
        </w:rPr>
      </w:pPr>
      <w:r>
        <w:t>9.4 Decoupling Preserves the Viability of Game Theory for Elderly Engagement</w:t>
      </w:r>
      <w:r>
        <w:tab/>
        <w:t>84</w:t>
      </w:r>
    </w:p>
    <w:p w14:paraId="0AFF8A08" w14:textId="77777777" w:rsidR="00FD5D21" w:rsidRDefault="00FD5D21">
      <w:pPr>
        <w:pStyle w:val="TOC2"/>
        <w:tabs>
          <w:tab w:val="right" w:leader="dot" w:pos="8495"/>
        </w:tabs>
        <w:rPr>
          <w:noProof/>
        </w:rPr>
      </w:pPr>
      <w:r>
        <w:t>9.5 Adaptive Learning as the Design Counter</w:t>
      </w:r>
      <w:r>
        <w:tab/>
        <w:t>84</w:t>
      </w:r>
    </w:p>
    <w:p w14:paraId="085F1BB8" w14:textId="77777777" w:rsidR="00FD5D21" w:rsidRDefault="00FD5D21">
      <w:pPr>
        <w:pStyle w:val="TOC2"/>
        <w:tabs>
          <w:tab w:val="right" w:leader="dot" w:pos="8495"/>
        </w:tabs>
        <w:rPr>
          <w:noProof/>
        </w:rPr>
      </w:pPr>
      <w:r>
        <w:t>9.6 Competing Appraisal Regimes: Endowment Protection and Learning Trajectory</w:t>
      </w:r>
      <w:r>
        <w:tab/>
        <w:t>85</w:t>
      </w:r>
    </w:p>
    <w:p w14:paraId="43B707E8" w14:textId="77777777" w:rsidR="00FD5D21" w:rsidRDefault="00FD5D21">
      <w:pPr>
        <w:pStyle w:val="TOC2"/>
        <w:tabs>
          <w:tab w:val="right" w:leader="dot" w:pos="8495"/>
        </w:tabs>
        <w:rPr>
          <w:noProof/>
        </w:rPr>
      </w:pPr>
      <w:r>
        <w:t>9.7 Theoretical Contributions</w:t>
      </w:r>
      <w:r>
        <w:tab/>
        <w:t>85</w:t>
      </w:r>
    </w:p>
    <w:p w14:paraId="5FB7339C" w14:textId="77777777" w:rsidR="00FD5D21" w:rsidRDefault="00FD5D21">
      <w:pPr>
        <w:pStyle w:val="TOC2"/>
        <w:tabs>
          <w:tab w:val="right" w:leader="dot" w:pos="8495"/>
        </w:tabs>
        <w:rPr>
          <w:noProof/>
        </w:rPr>
      </w:pPr>
      <w:r>
        <w:t>9.8 Practical Contributions for Industry and Practice</w:t>
      </w:r>
      <w:r>
        <w:tab/>
        <w:t>86</w:t>
      </w:r>
    </w:p>
    <w:p w14:paraId="1243C9D5" w14:textId="77777777" w:rsidR="00FD5D21" w:rsidRDefault="00FD5D21">
      <w:pPr>
        <w:pStyle w:val="TOC2"/>
        <w:tabs>
          <w:tab w:val="right" w:leader="dot" w:pos="8495"/>
        </w:tabs>
        <w:rPr>
          <w:noProof/>
        </w:rPr>
      </w:pPr>
      <w:r>
        <w:t>9.8A A Secondary Contribution to Gamification: Agentic-AI-Driven Dynamic Game States</w:t>
      </w:r>
      <w:r>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r>
      <w:r>
        <w:tab/>
        <w:t>87</w:t>
      </w:r>
    </w:p>
    <w:p w14:paraId="732A1D97" w14:textId="77777777" w:rsidR="00FD5D21" w:rsidRDefault="00FD5D21">
      <w:pPr>
        <w:pStyle w:val="TOC2"/>
        <w:tabs>
          <w:tab w:val="right" w:leader="dot" w:pos="8495"/>
        </w:tabs>
        <w:rPr>
          <w:noProof/>
        </w:rPr>
      </w:pPr>
      <w:r>
        <w:t>9.8C Bounded Implications for AI Evaluation</w:t>
      </w:r>
      <w:r>
        <w:tab/>
        <w:t>88</w:t>
      </w:r>
    </w:p>
    <w:p w14:paraId="31BE21AB" w14:textId="77777777" w:rsidR="00FD5D21" w:rsidRDefault="00FD5D21">
      <w:pPr>
        <w:pStyle w:val="TOC3"/>
        <w:tabs>
          <w:tab w:val="right" w:leader="dot" w:pos="8495"/>
        </w:tabs>
        <w:rPr>
          <w:noProof/>
        </w:rPr>
      </w:pPr>
      <w:r>
        <w:t>From Language-Rendered Telemetry to Grounded Sensing</w:t>
      </w:r>
      <w:r>
        <w:tab/>
        <w:t>88</w:t>
      </w:r>
    </w:p>
    <w:p w14:paraId="661E61AE" w14:textId="77777777" w:rsidR="00FD5D21" w:rsidRDefault="00FD5D21">
      <w:pPr>
        <w:pStyle w:val="TOC3"/>
        <w:tabs>
          <w:tab w:val="right" w:leader="dot" w:pos="8495"/>
        </w:tabs>
        <w:rPr>
          <w:noProof/>
        </w:rPr>
      </w:pPr>
      <w:r>
        <w:t>Perception-Action Loops as an Engineering Extension</w:t>
      </w:r>
      <w:r>
        <w:tab/>
        <w:t>89</w:t>
      </w:r>
    </w:p>
    <w:p w14:paraId="369631C5" w14:textId="77777777" w:rsidR="00FD5D21" w:rsidRDefault="00FD5D21">
      <w:pPr>
        <w:pStyle w:val="TOC3"/>
        <w:tabs>
          <w:tab w:val="right" w:leader="dot" w:pos="8495"/>
        </w:tabs>
        <w:rPr>
          <w:noProof/>
        </w:rPr>
      </w:pPr>
      <w:r>
        <w:t>Adaptive Learning as a Testable System Hypothesis</w:t>
      </w:r>
      <w:r>
        <w:tab/>
        <w:t>89</w:t>
      </w:r>
    </w:p>
    <w:p w14:paraId="3B001913" w14:textId="77777777" w:rsidR="00FD5D21" w:rsidRDefault="00FD5D21">
      <w:pPr>
        <w:pStyle w:val="TOC3"/>
        <w:tabs>
          <w:tab w:val="right" w:leader="dot" w:pos="8495"/>
        </w:tabs>
        <w:rPr>
          <w:noProof/>
        </w:rPr>
      </w:pPr>
      <w:r>
        <w:t>Implications for Broader AI Research</w:t>
      </w:r>
      <w:r>
        <w:tab/>
        <w:t>91</w:t>
      </w:r>
    </w:p>
    <w:p w14:paraId="0DCEC4D3" w14:textId="77777777" w:rsidR="00FD5D21" w:rsidRDefault="00FD5D21">
      <w:pPr>
        <w:pStyle w:val="TOC3"/>
        <w:tabs>
          <w:tab w:val="right" w:leader="dot" w:pos="8495"/>
        </w:tabs>
        <w:rPr>
          <w:noProof/>
        </w:rPr>
      </w:pPr>
      <w:r>
        <w:t>Proposed Evaluation Criteria for Human-Adaptive Systems</w:t>
      </w:r>
      <w:r>
        <w:tab/>
        <w:t>91</w:t>
      </w:r>
    </w:p>
    <w:p w14:paraId="50617ABD" w14:textId="77777777" w:rsidR="00FD5D21" w:rsidRDefault="00FD5D21">
      <w:pPr>
        <w:pStyle w:val="TOC2"/>
        <w:tabs>
          <w:tab w:val="right" w:leader="dot" w:pos="8495"/>
        </w:tabs>
        <w:rPr>
          <w:noProof/>
        </w:rPr>
      </w:pPr>
      <w:r>
        <w:t>9.9 Limits of What Has Been Shown</w:t>
      </w:r>
      <w:r>
        <w:tab/>
        <w:t>92</w:t>
      </w:r>
    </w:p>
    <w:p w14:paraId="46AE8551" w14:textId="77777777" w:rsidR="00FD5D21" w:rsidRDefault="00FD5D21">
      <w:pPr>
        <w:pStyle w:val="TOC2"/>
        <w:tabs>
          <w:tab w:val="right" w:leader="dot" w:pos="8495"/>
        </w:tabs>
        <w:rPr>
          <w:noProof/>
        </w:rPr>
      </w:pPr>
      <w:r>
        <w:t>9.10 Natural Extensions</w:t>
      </w:r>
      <w:r>
        <w:tab/>
        <w:t>92</w:t>
      </w:r>
    </w:p>
    <w:p w14:paraId="303D5A68" w14:textId="77777777" w:rsidR="00FD5D21" w:rsidRDefault="00FD5D21">
      <w:pPr>
        <w:pStyle w:val="TOC2"/>
        <w:tabs>
          <w:tab w:val="right" w:leader="dot" w:pos="8495"/>
        </w:tabs>
        <w:rPr>
          <w:noProof/>
        </w:rPr>
      </w:pPr>
      <w:r>
        <w:t>9.11 Returning to the Three F4 Residents</w:t>
      </w:r>
      <w:r>
        <w:tab/>
        <w:t>92</w:t>
      </w:r>
    </w:p>
    <w:p w14:paraId="3CC2036D" w14:textId="77777777" w:rsidR="00FD5D21" w:rsidRDefault="00FD5D21">
      <w:pPr>
        <w:pStyle w:val="TOC2"/>
        <w:tabs>
          <w:tab w:val="right" w:leader="dot" w:pos="8495"/>
        </w:tabs>
        <w:rPr>
          <w:noProof/>
        </w:rPr>
      </w:pPr>
      <w:r>
        <w:t>9.12 Closing Synthesis</w:t>
      </w:r>
      <w:r>
        <w:tab/>
        <w:t>93</w:t>
      </w:r>
    </w:p>
    <w:p w14:paraId="7A0A368C" w14:textId="77777777" w:rsidR="00FD5D21" w:rsidRDefault="00FD5D21">
      <w:pPr>
        <w:pStyle w:val="TOC1"/>
        <w:tabs>
          <w:tab w:val="right" w:leader="dot" w:pos="8495"/>
        </w:tabs>
        <w:rPr>
          <w:noProof/>
        </w:rPr>
      </w:pPr>
      <w:r>
        <w:t>References</w:t>
      </w:r>
      <w:r>
        <w:tab/>
        <w:t>94</w:t>
      </w:r>
    </w:p>
    <w:p w14:paraId="74DBA3C6" w14:textId="77777777" w:rsidR="00FD5D21" w:rsidRDefault="00FD5D21">
      <w:pPr>
        <w:pStyle w:val="TOC1"/>
        <w:tabs>
          <w:tab w:val="right" w:leader="dot" w:pos="8495"/>
        </w:tabs>
        <w:rPr>
          <w:noProof/>
        </w:rPr>
      </w:pPr>
      <w:r>
        <w:lastRenderedPageBreak/>
        <w:t>Appendices</w:t>
      </w:r>
      <w:r>
        <w:tab/>
        <w:t>101</w:t>
      </w:r>
    </w:p>
    <w:p w14:paraId="2926D9FE" w14:textId="77777777" w:rsidR="00FD5D21" w:rsidRDefault="00FD5D21">
      <w:pPr>
        <w:pStyle w:val="TOC2"/>
        <w:tabs>
          <w:tab w:val="right" w:leader="dot" w:pos="8495"/>
        </w:tabs>
        <w:rPr>
          <w:noProof/>
        </w:rPr>
      </w:pPr>
      <w:r>
        <w:t>Appendix A · Stage-1 Survey Instrument</w:t>
      </w:r>
      <w:r>
        <w:tab/>
        <w:t>102</w:t>
      </w:r>
    </w:p>
    <w:p w14:paraId="5285B0E0" w14:textId="77777777" w:rsidR="00FD5D21" w:rsidRDefault="00FD5D21">
      <w:pPr>
        <w:pStyle w:val="TOC3"/>
        <w:tabs>
          <w:tab w:val="right" w:leader="dot" w:pos="8495"/>
        </w:tabs>
        <w:rPr>
          <w:noProof/>
        </w:rPr>
      </w:pPr>
      <w:r>
        <w:t>A.1 · Survey Items</w:t>
      </w:r>
      <w:r>
        <w:tab/>
        <w:t>102</w:t>
      </w:r>
    </w:p>
    <w:p w14:paraId="6DDF65C7" w14:textId="77777777" w:rsidR="00FD5D21" w:rsidRDefault="00FD5D21">
      <w:pPr>
        <w:pStyle w:val="TOC2"/>
        <w:tabs>
          <w:tab w:val="right" w:leader="dot" w:pos="8495"/>
        </w:tabs>
        <w:rPr>
          <w:noProof/>
        </w:rPr>
      </w:pPr>
      <w:r>
        <w:t>Appendix B · Stage-2 FIAS Coding Scheme</w:t>
      </w:r>
      <w:r>
        <w:tab/>
        <w:t>103</w:t>
      </w:r>
    </w:p>
    <w:p w14:paraId="2E506C6B" w14:textId="77777777" w:rsidR="00FD5D21" w:rsidRDefault="00FD5D21">
      <w:pPr>
        <w:pStyle w:val="TOC2"/>
        <w:tabs>
          <w:tab w:val="right" w:leader="dot" w:pos="8495"/>
        </w:tabs>
        <w:rPr>
          <w:noProof/>
        </w:rPr>
      </w:pPr>
      <w:r>
        <w:t>Appendix C · Stage-2 F4 Interview Protocol</w:t>
      </w:r>
      <w:r>
        <w:tab/>
        <w:t>104</w:t>
      </w:r>
    </w:p>
    <w:p w14:paraId="5E5C18B7" w14:textId="77777777" w:rsidR="00FD5D21" w:rsidRDefault="00FD5D21">
      <w:pPr>
        <w:pStyle w:val="TOC3"/>
        <w:tabs>
          <w:tab w:val="right" w:leader="dot" w:pos="8495"/>
        </w:tabs>
        <w:rPr>
          <w:noProof/>
        </w:rPr>
      </w:pPr>
      <w:r>
        <w:t>C.1 · Question Set</w:t>
      </w:r>
      <w:r>
        <w:tab/>
        <w:t>104</w:t>
      </w:r>
    </w:p>
    <w:p w14:paraId="0E2D0823" w14:textId="77777777" w:rsidR="00FD5D21" w:rsidRDefault="00FD5D21">
      <w:pPr>
        <w:pStyle w:val="TOC2"/>
        <w:tabs>
          <w:tab w:val="right" w:leader="dot" w:pos="8495"/>
        </w:tabs>
        <w:rPr>
          <w:noProof/>
        </w:rPr>
      </w:pPr>
      <w:r>
        <w:t>Appendix D · Stage-3 Decoupling Questionnaire</w:t>
      </w:r>
      <w:r>
        <w:tab/>
        <w:t>105</w:t>
      </w:r>
    </w:p>
    <w:p w14:paraId="709DF084" w14:textId="77777777" w:rsidR="00FD5D21" w:rsidRDefault="00FD5D21">
      <w:pPr>
        <w:pStyle w:val="TOC3"/>
        <w:tabs>
          <w:tab w:val="right" w:leader="dot" w:pos="8495"/>
        </w:tabs>
        <w:rPr>
          <w:noProof/>
        </w:rPr>
      </w:pPr>
      <w:r>
        <w:t>D.1 · Post-Session Items</w:t>
      </w:r>
      <w:r>
        <w:tab/>
        <w:t>105</w:t>
      </w:r>
    </w:p>
    <w:p w14:paraId="7620F4EE" w14:textId="77777777" w:rsidR="00FD5D21" w:rsidRDefault="00FD5D21">
      <w:pPr>
        <w:pStyle w:val="TOC3"/>
        <w:tabs>
          <w:tab w:val="right" w:leader="dot" w:pos="8495"/>
        </w:tabs>
        <w:rPr>
          <w:noProof/>
        </w:rPr>
      </w:pPr>
      <w:r>
        <w:t>D.2 · Demographic Block (At Enrolment)</w:t>
      </w:r>
      <w:r>
        <w:tab/>
        <w:t>105</w:t>
      </w:r>
    </w:p>
    <w:p w14:paraId="69614DC3" w14:textId="77777777" w:rsidR="00FD5D21" w:rsidRDefault="00FD5D21">
      <w:pPr>
        <w:pStyle w:val="TOC2"/>
        <w:tabs>
          <w:tab w:val="right" w:leader="dot" w:pos="8495"/>
        </w:tabs>
        <w:rPr>
          <w:noProof/>
        </w:rPr>
      </w:pPr>
      <w:r>
        <w:t>Appendix E · Five-Layer Architecture and LODF Reference Stack</w:t>
      </w:r>
      <w:r>
        <w:tab/>
        <w:t>106</w:t>
      </w:r>
    </w:p>
    <w:p w14:paraId="54F1230E" w14:textId="77777777" w:rsidR="00FD5D21" w:rsidRDefault="00FD5D21">
      <w:pPr>
        <w:pStyle w:val="TOC3"/>
        <w:tabs>
          <w:tab w:val="right" w:leader="dot" w:pos="8495"/>
        </w:tabs>
        <w:rPr>
          <w:noProof/>
        </w:rPr>
      </w:pPr>
      <w:r>
        <w:t>E.1 · Layers L0–L4 (Stage-2 Operational)</w:t>
      </w:r>
      <w:r>
        <w:tab/>
        <w:t>106</w:t>
      </w:r>
    </w:p>
    <w:p w14:paraId="41DABB89" w14:textId="77777777" w:rsidR="00FD5D21" w:rsidRDefault="00FD5D21">
      <w:pPr>
        <w:pStyle w:val="TOC3"/>
        <w:tabs>
          <w:tab w:val="right" w:leader="dot" w:pos="8495"/>
        </w:tabs>
        <w:rPr>
          <w:noProof/>
        </w:rPr>
      </w:pPr>
      <w:r>
        <w:t>E.2 · Layers L5–L7 (LODF Reference Stack)</w:t>
      </w:r>
      <w:r>
        <w:tab/>
        <w:t>106</w:t>
      </w:r>
    </w:p>
    <w:p w14:paraId="7F593C60" w14:textId="77777777" w:rsidR="00FD5D21" w:rsidRDefault="00FD5D21">
      <w:pPr>
        <w:pStyle w:val="TOC3"/>
        <w:tabs>
          <w:tab w:val="right" w:leader="dot" w:pos="8495"/>
        </w:tabs>
        <w:rPr>
          <w:noProof/>
        </w:rPr>
      </w:pPr>
      <w:r>
        <w:t>E.3 · AI Safety Provisions</w:t>
      </w:r>
      <w:r>
        <w:tab/>
        <w:t>107</w:t>
      </w:r>
    </w:p>
    <w:p w14:paraId="1D6E2544" w14:textId="77777777" w:rsidR="0062437E" w:rsidRDefault="00000000">
      <w:pPr>
        <w:pStyle w:val="TOC2"/>
      </w:pPr>
      <w:r>
        <w:t>Appendix F · Glossary of Key Constructs</w:t>
      </w:r>
      <w:r>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r>
      <w:r>
        <w:tab/>
        <w:t>110</w:t>
      </w:r>
    </w:p>
    <w:p w14:paraId="5FFD17E6" w14:textId="77777777" w:rsidR="0062437E" w:rsidRDefault="00000000">
      <w:pPr>
        <w:pStyle w:val="Heading1"/>
      </w:pPr>
      <w:r>
        <w:t>List of Figures</w:t>
      </w:r>
    </w:p>
    <w:p>
      <w:r>
        <w:rPr>
          <w:b/>
          <w:highlight w:val="yellow"/>
        </w:rPr>
        <w:t>[NOTE TO AUTHOR: regenerate this list and its page numbers after inserting the photographs at the marked positions (Figures 4.1B, 5.1A, 5.1B, 5.3A, 6.0A). Figures 5.4 and 6.1 have been regenerated from the archived data and are embedded.]</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LODF design framework and the future-work programme.</w:t>
      </w:r>
      <w:r>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tab/>
        <w:t>30</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r>
      <w:r>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r>
      <w:r>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r>
      <w:r>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r>
      <w:r>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FIAS composite scores across all 30 participants. Threshold gap visible between scores 5 and 9.</w:t>
      </w:r>
      <w:r>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r>
      <w:r>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r>
      <w:r>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35.6-pp commitment gap in the 65–80 band.</w:t>
      </w:r>
      <w:r>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LODF reference stack: existing five-layer FRA architecture (L0–L4) extended with three additional layers (L5 User-Facing Trajectory; L6 Staff Coaching Protocol; L7 LODF Telemetry).</w:t>
      </w:r>
      <w:r>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pPr>
        <w:pStyle w:val="TOC1"/>
      </w:pPr>
      <w:r>
        <w:t>Table 2.1. From the rejected null hypothesis to candidate mechanisms: the structure of the FIAS account.</w:t>
      </w:r>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w:t>
      </w:r>
      <w:r>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r>
      <w:r>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r>
      <w:r>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r>
      <w:r>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r>
      <w:r>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r>
      <w:r>
        <w:tab/>
        <w:t>48</w:t>
      </w:r>
    </w:p>
    <w:p w14:paraId="26EBE44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5.3. Stage-2 outcomes by motivational orientation.</w:t>
      </w:r>
      <w:r>
        <w:tab/>
        <w:t>49</w:t>
      </w:r>
    </w:p>
    <w:p>
      <w:pPr>
        <w:pStyle w:val="TOC1"/>
      </w:pPr>
      <w:r>
        <w:t>Table 5.4.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r>
      <w:r>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r>
      <w:r>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r>
      <w:r>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r>
      <w:r>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r>
      <w:r>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Table 7.1. LODF principles, function and empirical anchor.</w:t>
      </w:r>
      <w:r>
        <w:tab/>
        <w:t>66</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LODF reference stack (L0–L7) mapped to LODF principles.</w:t>
      </w:r>
      <w:r>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39AB95D6" w14:textId="77777777">
        <w:trPr>
          <w:jc w:val="center"/>
        </w:trPr>
        <w:tc>
          <w:tcPr>
            <w:tcW w:w="4252" w:type="dxa"/>
          </w:tcPr>
          <w:p w14:paraId="64D3F0A4" w14:textId="77777777" w:rsidR="0062437E" w:rsidRDefault="00000000">
            <w:r>
              <w:rPr>
                <w:sz w:val="20"/>
              </w:rPr>
              <w:t>LODF</w:t>
            </w:r>
          </w:p>
        </w:tc>
        <w:tc>
          <w:tcPr>
            <w:tcW w:w="4252" w:type="dxa"/>
          </w:tcPr>
          <w:p w14:paraId="31C3A55C" w14:textId="77777777" w:rsidR="0062437E" w:rsidRDefault="00000000">
            <w:r>
              <w:rPr>
                <w:sz w:val="20"/>
              </w:rPr>
              <w:t>Learning-Oriented Design Framework</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r>
      <w:r>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r>
      <w:r>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r>
      <w:r>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LODF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LODF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 xml:space="preserve">Stage 3 was the programme's strongest empirical challenge to a purely dispositional explanation. By the close of Stage 2, FIAS had been specified as a provisional construct </w:t>
      </w:r>
      <w:r>
        <w:lastRenderedPageBreak/>
        <w:t>and a behavioural-economic mechanism had been proposed. What remained unresolved was whether the observed non-return pattern was primarily a property of the Guangzhou cohort, a property of the coupled clinical-game context, or a combination of both. A separate-cohort decoupling study could provide important directional evidence, but it could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13.3%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consistent with frame suppression and inconsistent with the strongest form of a purely dispositional account. They do not rule out cohort self-selection, setting, recruitment, health-status, staff-interaction or observation-window differences. The comparison is therefore described as a between-cohort quasi-experimental decoupling study rather than a single-variable experiment. The residual 35.6-percentage-point difference in the 65-80 band between in-session retention and regular-use intention identifies a practical design problem that remains. Adaptive learning, formalised in Chapter 7 as LODF, is proposed as one theoretically grounded response among several candidates, including fatigue management, access support, shorter sessions and alternative coaching strategies.</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r>
      <w:r>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LODF.</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identify, name and characterise a pattern of failure-associated non-return to a gamified health technology among older adults, to examine whether participant-facing clinical framing may moderate that pattern, and to translate the resulting evidence into an engineering design framework that can be tested and deployed on existing infrastructure.</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r>
      <w:r>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Theoretically, it identifies failure-associated non-return as a post-contact problem not explicitly represented in standard acceptance and gamification models, integrates technology acceptance, gamification, self-efficacy and behavioural-economics literatures, and advances FIAS as a provisional frame-sensitive behavioural construct. Mental accounting, identity-level endowment, loss aversion and stereotype threat are proposed as candidate mechanisms and are not claimed to have been directly measured. Methodologically, the thesis introduces the dual-purpose mechanic, documents a Claude Code-assisted development workflow, uses theory-iterating action research with explicit revision points, conducts a between-cohort quasi-experimental participant-facing decoupling comparison, and measures the difference between in-session retention and stated regular-use intention. Empirically, it reports a strong association between first failure and observed dropout in Stage 2 and a substantial increase in post-failure return in the separate Stage-3 decoupled cohort, while explicitly retaining the need for within-cohort confirmation. Practically, it specifies the learn-to-earn philosophy and LODF as deployable engineering responses for prospective evaluation on existing infrastructure.</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lastRenderedPageBreak/>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35.6-percentage-point commitment gap does not identify adaptive learning as its sole cause; fatigue, physical capacity, access, session burden and other motivational factors remain viable alternatives. Direct comparison of design levers and controlled evaluation of the complete LODF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Part I (Chapters 2 and 3) establishes the theoretical and methodological foundation. Chapter 2 develops a five-stage argument from technology acceptance and gamification through self-efficacy, behavioural economics and learning-oriented design, while distinguishing established literature from the thesis's candidate mechanisms. Chapter 3 specifies the action-research methodology, the analytical status of each stage and the limitations of the between-cohort comparison. Part II (Chapters 4, 5 and 6) reports the Stage-1 survey, the Stage-2 gamified FRA deployment and the Stage-3 participant-facing decoupling study. Part III (Chapters 7 and 8) develops LODF as an engineering framework, identifies its empirical anchors and untested components, and examines alternative explanations, limitations, ethics and reproducibility. Chapter 9 synthesises the findings using an explicit hierarchy of observed results, inferred mechanisms and proposed design responses, and sets out the controlled studies required for confirmation and generalisation.</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LODF,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establishes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r>
      <w:r>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t>2.3.5 The Null Hypothesis Built From Stages One and Two</w:t>
      </w:r>
    </w:p>
    <w:p>
      <w: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r>
        <w:rPr>
          <w:b/>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TableCaption"/>
      </w:pPr>
      <w: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
              <w:rPr>
                <w:b/>
              </w:rPr>
              <w:t>Observation H0 cannot explain</w:t>
            </w:r>
          </w:p>
        </w:tc>
        <w:tc>
          <w:tcPr>
            <w:tcW w:type="dxa" w:w="2126"/>
          </w:tcPr>
          <w:p>
            <w:r/>
            <w:r>
              <w:rPr>
                <w:b/>
              </w:rPr>
              <w:t>Behavioural theory</w:t>
            </w:r>
          </w:p>
        </w:tc>
        <w:tc>
          <w:tcPr>
            <w:tcW w:type="dxa" w:w="2126"/>
          </w:tcPr>
          <w:p>
            <w:r/>
            <w:r>
              <w:rPr>
                <w:b/>
              </w:rPr>
              <w:t>Construct contributed to FIAS</w:t>
            </w:r>
          </w:p>
        </w:tc>
        <w:tc>
          <w:tcPr>
            <w:tcW w:type="dxa" w:w="2126"/>
          </w:tcPr>
          <w:p>
            <w:r/>
            <w:r>
              <w:rPr>
                <w:b/>
              </w:rPr>
              <w:t>Prediction generated</w:t>
            </w:r>
          </w:p>
        </w:tc>
      </w:tr>
      <w:tr>
        <w:tc>
          <w:tcPr>
            <w:tcW w:type="dxa" w:w="2126"/>
          </w:tcPr>
          <w:p>
            <w:r/>
            <w:r>
              <w:t>A single adverse first experience outweighs the design's motivational pull</w:t>
            </w:r>
          </w:p>
        </w:tc>
        <w:tc>
          <w:tcPr>
            <w:tcW w:type="dxa" w:w="2126"/>
          </w:tcPr>
          <w:p>
            <w:r/>
            <w:r>
              <w:t>Prospect theory / loss aversion (Kahneman &amp; Tversky, 1979)</w:t>
            </w:r>
          </w:p>
        </w:tc>
        <w:tc>
          <w:tcPr>
            <w:tcW w:type="dxa" w:w="2126"/>
          </w:tcPr>
          <w:p>
            <w:r/>
            <w:r>
              <w:t>Asymmetric weighting of an adverse result against a valued reference point</w:t>
            </w:r>
          </w:p>
        </w:tc>
        <w:tc>
          <w:tcPr>
            <w:tcW w:type="dxa" w:w="2126"/>
          </w:tcPr>
          <w:p>
            <w:r/>
            <w:r>
              <w:t>First failure is associated with early disengagement (H1, Chapter 5)</w:t>
            </w:r>
          </w:p>
        </w:tc>
      </w:tr>
      <w:tr>
        <w:tc>
          <w:tcPr>
            <w:tcW w:type="dxa" w:w="2126"/>
          </w:tcPr>
          <w:p>
            <w:r/>
            <w:r>
              <w:t>Exit persists even when the recorded score improves</w:t>
            </w:r>
          </w:p>
        </w:tc>
        <w:tc>
          <w:tcPr>
            <w:tcW w:type="dxa" w:w="2126"/>
          </w:tcPr>
          <w:p>
            <w:r/>
            <w:r>
              <w:t>Endowment effect (Thaler, 1980; Kahneman, Knetsch &amp; Thaler, 1990)</w:t>
            </w:r>
          </w:p>
        </w:tc>
        <w:tc>
          <w:tcPr>
            <w:tcW w:type="dxa" w:w="2126"/>
          </w:tcPr>
          <w:p>
            <w:r/>
            <w:r>
              <w:t>Identity-relevant endowment: exit protects a valued self-description from revaluation</w:t>
            </w:r>
          </w:p>
        </w:tc>
        <w:tc>
          <w:tcPr>
            <w:tcW w:type="dxa" w:w="2126"/>
          </w:tcPr>
          <w:p>
            <w:r/>
            <w:r>
              <w:t>Objective improvement does not by itself produce return (H4 — the improvement/non-return paradox)</w:t>
            </w:r>
          </w:p>
        </w:tc>
      </w:tr>
      <w:tr>
        <w:tc>
          <w:tcPr>
            <w:tcW w:type="dxa" w:w="2126"/>
          </w:tcPr>
          <w:p>
            <w:r/>
            <w:r>
              <w:t>The same event means different things under different frames</w:t>
            </w:r>
          </w:p>
        </w:tc>
        <w:tc>
          <w:tcPr>
            <w:tcW w:type="dxa" w:w="2126"/>
          </w:tcPr>
          <w:p>
            <w:r/>
            <w:r>
              <w:t>Mental accounting (Thaler, 1985)</w:t>
            </w:r>
          </w:p>
        </w:tc>
        <w:tc>
          <w:tcPr>
            <w:tcW w:type="dxa" w:w="2126"/>
          </w:tcPr>
          <w:p>
            <w:r/>
            <w:r>
              <w:t>Clinical framing sorts the session into a high-stakes health account</w:t>
            </w:r>
          </w:p>
        </w:tc>
        <w:tc>
          <w:tcPr>
            <w:tcW w:type="dxa" w:w="2126"/>
          </w:tcPr>
          <w:p>
            <w:r/>
            <w:r>
              <w:t>Removing participant-facing clinical framing increases post-failure return (H5, Stage 3)</w:t>
            </w:r>
          </w:p>
        </w:tc>
      </w:tr>
      <w:tr>
        <w:tc>
          <w:tcPr>
            <w:tcW w:type="dxa" w:w="2126"/>
          </w:tcPr>
          <w:p>
            <w:r/>
            <w:r>
              <w:t>Clinical and age-related cues amplify the meaning of failure</w:t>
            </w:r>
          </w:p>
        </w:tc>
        <w:tc>
          <w:tcPr>
            <w:tcW w:type="dxa" w:w="2126"/>
          </w:tcPr>
          <w:p>
            <w:r/>
            <w:r>
              <w:t>Stereotype threat (Steele &amp; Aronson, 1995; Levy et al., 2002)</w:t>
            </w:r>
          </w:p>
        </w:tc>
        <w:tc>
          <w:tcPr>
            <w:tcW w:type="dxa" w:w="2126"/>
          </w:tcPr>
          <w:p>
            <w:r/>
            <w:r>
              <w:t>Salience of age-related decline as the trigger of identity-relevant appraisal</w:t>
            </w:r>
          </w:p>
        </w:tc>
        <w:tc>
          <w:tcPr>
            <w:tcW w:type="dxa" w:w="2126"/>
          </w:tcPr>
          <w:p>
            <w:r/>
            <w:r>
              <w:t>Threat-reduced framing and coaching improve retry and return (LODF, Chapter 7)</w:t>
            </w:r>
          </w:p>
        </w:tc>
      </w:tr>
      <w:tr>
        <w:tc>
          <w:tcPr>
            <w:tcW w:type="dxa" w:w="2126"/>
          </w:tcPr>
          <w:p>
            <w:r/>
            <w:r>
              <w:t>Abandonment persisted although the Stage-2 build had already softened in-game loss (lives, forgiving hits)</w:t>
            </w:r>
          </w:p>
        </w:tc>
        <w:tc>
          <w:tcPr>
            <w:tcW w:type="dxa" w:w="2126"/>
          </w:tcPr>
          <w:p>
            <w:r/>
            <w:r>
              <w:t>Octalysis D8 inverted: zero-failure design (§2.6.2C, from this research's observations)</w:t>
            </w:r>
          </w:p>
        </w:tc>
        <w:tc>
          <w:tcPr>
            <w:tcW w:type="dxa" w:w="2126"/>
          </w:tcPr>
          <w:p>
            <w:r/>
            <w:r>
              <w:t>The operative loss is identity-level, outside the game's ledger; verdict cues, not in-game losses, carry it</w:t>
            </w:r>
          </w:p>
        </w:tc>
        <w:tc>
          <w:tcPr>
            <w:tcW w:type="dxa" w:w="2126"/>
          </w:tcPr>
          <w:p>
            <w:r/>
            <w:r>
              <w:t>Removing terminal failure verdicts (zero-failure states, §5.3.10) plus decoupling increases retry and return (LODF, Chapter 7; isolated test in §8.8)</w:t>
            </w:r>
          </w:p>
        </w:tc>
      </w:tr>
    </w:tbl>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LODF.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 xml:space="preserve">Adaptive learning is not a single technique but a convergence of four established traditions, and naming them explicitly matters because it fixes what the LODF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w:t>
      </w:r>
      <w:r>
        <w:lastRenderedPageBreak/>
        <w:t>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t>2.6.2C Zero-Failure Design: A Research-Generated Concept That Inverts Octalysis D8</w:t>
      </w:r>
    </w:p>
    <w:p>
      <w: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35.6-percentage-point commitment gap remained. Zero-failure design is therefore a moderator within the FIAS account and a testable component of LODF (Chapter 7), not a demonstrated cure; its isolated evaluation is pre-specified in the randomised study of §8.8.</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 xml:space="preserve">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t>
      </w:r>
      <w:r>
        <w:lastRenderedPageBreak/>
        <w:t>with substantially greater post-failure return. Adaptive learning and LODF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engagement with related FRA technology. The comparison is a benchmark rather than a causal explanation, and the cited studies should be checked carefully for exact protocol, population and retention definitions before final binding. The possibility that some implementations already incorporate supportive framing or adaptive coaching is a hypothesis for comparative fieldwork, not an inference that can be made from retention figures alone.</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LODF (Chapter 7) is the engineering formalisation of the adaptive-learning proposition, and it awaits prospective testing.</w:t>
      </w:r>
    </w:p>
    <w:p w14:paraId="61B3764C" w14:textId="77777777" w:rsidR="0062437E" w:rsidRDefault="00000000">
      <w:pPr>
        <w:jc w:val="both"/>
      </w:pPr>
      <w:r>
        <w:t>No single stage carries the argument alone. The intellectual contribution is the chain itself: a null hypothesis honestly built from the best available models, an empirical rejection that cannot be blamed on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t>The programme adopts action research (Lewin, 1946; Stringer, 2014; Reason &amp; Bradbury, 2008) and treats cycles of action, observation, reflection and design revision as part of the inquiry. The framework is appropriate to an EngD study because the artefact and the theoretical interpretation evolved in response to field observations. The revisions are documented as changes in working explanation: from FIDS toward the provisional FIAS construct after Stage 1 and Stage 2; from a predominantly dispositional account toward a frame-sensitive account after Stage 3; and from decoupling alone toward LODF as a proposed design programme. These revisions are not equivalent to independent confirmation of the underlying psychological mechanisms.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was administered face-to-face by nursing staff. The final thesis must report one exact participant flow and denominator consistently; current working text contains both approximately 200 and approximately 280 and therefore requires author verification against the archived survey log.</w:t>
      </w:r>
    </w:p>
    <w:p w14:paraId="2B5F511C" w14:textId="77777777" w:rsidR="0062437E" w:rsidRDefault="00000000">
      <w:pPr>
        <w:jc w:val="both"/>
      </w:pPr>
      <w:r>
        <w:t>Stage 2 was a prospective eight-week action-research deployment with thirty residents at the same facility. The intervention was a dual-purpose AI-assisted skiing game on the InBody pressure panel. The primary analytical contribution was prospective characterisation of engagement, failure events and observed non-return within the study window.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t xml:space="preserve">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w:t>
      </w:r>
      <w:r>
        <w:lastRenderedPageBreak/>
        <w:t>combined association of the decoupled condition and its context with behaviour; it does not isolate a single causal variable.</w:t>
      </w:r>
    </w:p>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Figure 3.1 summarises the programme as a sequence of empirical stages and theoretical revisions. The figure should be read as an action-research logic model rather than as a single causal experiment. Stage 1 is descriptive and hypothesis-generating; Stage 2 is prospective and mechanism-generating; Stage 3 is quasi-experimental and challenges a purely dispositional explanation; Chapter 7 translates the combined evidence into a design framework for future controlled testing.</w:t>
      </w:r>
    </w:p>
    <w:p w14:paraId="392B12E8" w14:textId="77777777" w:rsidR="0062437E" w:rsidRDefault="00000000">
      <w:pPr>
        <w:keepNext/>
        <w:spacing w:before="160" w:after="40"/>
        <w:jc w:val="center"/>
      </w:pPr>
      <w:r>
        <w:rPr>
          <w:noProof/>
        </w:rPr>
        <w:drawing>
          <wp:anchor distT="0" distB="0" distL="114300" distR="114300" simplePos="0" relativeHeight="251658240" behindDoc="0" locked="0" layoutInCell="1" allowOverlap="1" wp14:anchorId="7754B632" wp14:editId="6ED53378">
            <wp:simplePos x="0" y="0"/>
            <wp:positionH relativeFrom="column">
              <wp:posOffset>-687705</wp:posOffset>
            </wp:positionH>
            <wp:positionV relativeFrom="paragraph">
              <wp:posOffset>22860</wp:posOffset>
            </wp:positionV>
            <wp:extent cx="6443345" cy="328104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png"/>
                    <pic:cNvPicPr/>
                  </pic:nvPicPr>
                  <pic:blipFill rotWithShape="1">
                    <a:blip r:embed="rId9"/>
                    <a:srcRect b="12216"/>
                    <a:stretch>
                      <a:fillRect/>
                    </a:stretch>
                  </pic:blipFill>
                  <pic:spPr bwMode="auto">
                    <a:xfrm>
                      <a:off x="0" y="0"/>
                      <a:ext cx="6443345" cy="3281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811F34" w14:textId="77777777" w:rsidR="0062437E" w:rsidRDefault="00000000">
      <w:pPr>
        <w:pStyle w:val="FigureCaption"/>
        <w:jc w:val="center"/>
      </w:pPr>
      <w:r>
        <w:t>Figure 3.1. Three-stage action research programme. Each stage produces an empirical output and a theoretical revision; the three stages converge on the proposed LODF design framework and the future-work programme. The labels in the diagram are programme-logic shorthand: 'clinical benefit paradox' denotes the observed score-improvement/non-return pattern, while 'adaptive learning' denotes a proposed design response rather than a directly measured mechanism.</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pStyle w:val="AuthorAction"/>
        <w:jc w:val="both"/>
      </w:pPr>
      <w:r>
        <w:t xml:space="preserve">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w:t>
      </w:r>
      <w:r>
        <w:rPr>
          <w:b/>
          <w:highlight w:val="yellow"/>
        </w:rPr>
        <w:t>[AUTHOR INPUT REQUIRED: insert the HSESC approval reference number and date; state which stages and amendments the approval covered; and confirm whether the Stage-3 frame-manipulation and recruitment wording were reviewed and approved]</w:t>
      </w:r>
      <w:r>
        <w:t>. Chapter 8 (§8.7) addresses vulnerability, disclosure, autonomy and the ethical boundary between participant-facing reframing and deception.</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The programme advances the hypothesis that learning-trajectory appraisal may reduce the dominance of an endowment-protective interpretation of failure. The present stages support this hypothesis indirectly through behavioural patterns; they do not measure the proposed mechanism or test the complete LODF.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t>Interpretive rule for the remainder of the thesis: observed results are reported as observations; mental accounting, endowment, stereotype threat and entropy are candidate explanations; LODF and environment-grounded adaptation are proposed engineering responses. This hierarchy is maintained so that the thesis's originality does not depend on overstating causal certainty.</w:t>
      </w:r>
    </w:p>
    <w:p w14:paraId="34DA1CE0" w14:textId="77777777" w:rsidR="0062437E" w:rsidRDefault="00000000">
      <w:pPr>
        <w:pStyle w:val="Heading1"/>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two purposes. The first was to characterise the utilisation and non-return problem at the Poly Group facility descriptively. The second was to examine whether TAM, STAM and Octalysis explicitly represent the post-contact event suggested by residents' reports, and to generate a theoretically grounded construct for prospective investigation. Stage 1 was not designed to validate FIAS or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rPr>
          <w:noProof/>
        </w:rPr>
        <w:drawing>
          <wp:inline distT="0" distB="0" distL="0" distR="0" wp14:anchorId="034C8673" wp14:editId="0B3636CC">
            <wp:extent cx="5611493" cy="325594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A.png"/>
                    <pic:cNvPicPr/>
                  </pic:nvPicPr>
                  <pic:blipFill>
                    <a:blip r:embed="rId10"/>
                    <a:stretch>
                      <a:fillRect/>
                    </a:stretch>
                  </pic:blipFill>
                  <pic:spPr>
                    <a:xfrm>
                      <a:off x="0" y="0"/>
                      <a:ext cx="5636431" cy="3270418"/>
                    </a:xfrm>
                    <a:prstGeom prst="rect">
                      <a:avLst/>
                    </a:prstGeom>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r>
        <w:rPr>
          <w:b/>
          <w:highlight w:val="green"/>
        </w:rPr>
        <w:t>[INSERT PHOTOGRAPH HERE — Figure 4.1B: the FRA machine]</w:t>
      </w:r>
    </w:p>
    <w:p>
      <w:pPr>
        <w:pStyle w:val="FigureCaption"/>
      </w:pPr>
      <w:r>
        <w:t>Figure 4.1B. The InBody FRA510S fall-risk-assessment station as installed at the Poly Group facility, Guangzhou. Photograph to be inserted by the author; facility photography consent on record.</w:t>
      </w:r>
    </w:p>
    <w:p w14:paraId="285B2D57" w14:textId="77777777" w:rsidR="0062437E" w:rsidRDefault="00000000">
      <w:pPr>
        <w:jc w:val="both"/>
      </w:pPr>
      <w:r>
        <w:t xml:space="preserve">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Current working text elsewhere refers to approximately 280 participants and to a separate TAM-based multiple-choice block; those references must be reconciled against the archived </w:t>
      </w:r>
      <w:r>
        <w:lastRenderedPageBreak/>
        <w:t>instrument and participant log before final binding. Only results with a traceable item, wording, denominator and data source should remain in Table 4.1.</w:t>
      </w:r>
    </w:p>
    <w:p w14:paraId="4CE718EE" w14:textId="77777777" w:rsidR="0062437E" w:rsidRDefault="00000000">
      <w:pPr>
        <w:pStyle w:val="Heading2"/>
      </w:pPr>
      <w:bookmarkStart w:id="56" w:name="_Toc232024556"/>
      <w:r>
        <w:t>4.2 The Guangzhou Survey (N ≈ 200)</w:t>
      </w:r>
      <w:bookmarkEnd w:id="56"/>
    </w:p>
    <w:p w14:paraId="58B43063" w14:textId="77777777" w:rsidR="0062437E" w:rsidRDefault="00000000">
      <w:pPr>
        <w:jc w:val="both"/>
      </w:pPr>
      <w:r>
        <w:t>Six Yes/No items were administered face-to-face by nursing staff in July and August 2024 to residents aged 65-88 who met the stated eligibility criteria. The final thesis must replace the approximate sample size with the exact number approached, eligible, consenting and completing the instrument, together with item-level missingness. Face-to-face administration reduced literacy and digital-skill barriers but may also have introduced interviewer and social-desirability effects.</w:t>
      </w:r>
    </w:p>
    <w:p w14:paraId="13B11C36" w14:textId="77777777" w:rsidR="0062437E" w:rsidRDefault="00000000">
      <w:pPr>
        <w:pStyle w:val="TableCaption"/>
        <w:jc w:val="center"/>
      </w:pPr>
      <w:bookmarkStart w:id="57" w:name="_Toc232024694"/>
      <w:r>
        <w:t>Table 4.1. Stage-1 survey results (N ≈ 200 residents).</w:t>
      </w:r>
      <w:bookmarkEnd w:id="57"/>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207EAAB" w14:textId="77777777" w:rsidR="0062437E" w:rsidRDefault="0062437E">
      <w:pPr>
        <w:pStyle w:val="AuthorAction"/>
        <w:spacing w:after="40"/>
      </w:pPr>
      <w:r>
        <w:rPr>
          <w:highlight w:val="yellow"/>
        </w:rPr>
        <w:t>AUTHOR VERIFICATION REQUIRED BEFORE FINAL BINDING: reconcile N≈200 versus N≈280; confirm the exact wording and denominator behind the reported access and perceived-benefit estimates; and document how a negative response to "understood and accepted the result" was mapped to the term "failure". If no corresponding source items exist, revise Table 4.1 and all downstream claims accordingly.</w:t>
      </w:r>
    </w:p>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often operationalised through performance gains. For retired older adults, usefulness may involve safety, independence, confidence and quality of life rather than job performance. More importantly for this thesis, standard acceptance models emphasise beliefs and intentions before or during adoption and do not usually model a discrete post-contact failure event as a time-varying predictor of later non-return. The Stage-1 data suggest that such an event deserves explicit study;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Park et al. (2019) and Kim et al. (2018) reported that comparable Korean residential facilities using similar FRA technology achieved approximately 75% sustained engagement after introducing gamified balance exercises. The Korean comparison is a benchmark, not an explanation: the design lever that produces 75% retention in Korea has not been identified in the literature. The thesis's empirical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a documented utilisation and non-return problem signature, identifies a post-contact event that is not explicit in TAM, STAM or Octalysis, and generates the provisional FIAS construct and associated hypotheses. It does not validate FIAS, establish permanence, or identify mental accounting, endowment or stereotype threat as causal mechanisms. Those propositions are examined through prospective behaviour in Stage 2 and challenged through participant-facing decoupling in Stage 3.</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H1–H4 are the directional hypotheses that structure that test.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rPr>
          <w:noProof/>
        </w:rPr>
        <w:drawing>
          <wp:inline distT="0" distB="0" distL="0" distR="0" wp14:anchorId="7670B86A" wp14:editId="5D5FAF05">
            <wp:extent cx="5120640" cy="3021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0.png"/>
                    <pic:cNvPicPr/>
                  </pic:nvPicPr>
                  <pic:blipFill>
                    <a:blip r:embed="rId11"/>
                    <a:stretch>
                      <a:fillRect/>
                    </a:stretch>
                  </pic:blipFill>
                  <pic:spPr>
                    <a:xfrm>
                      <a:off x="0" y="0"/>
                      <a:ext cx="5120640" cy="3021650"/>
                    </a:xfrm>
                    <a:prstGeom prst="rect">
                      <a:avLst/>
                    </a:prstGeom>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r>
      <w:r>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r>
      <w:r>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 xml:space="preserve">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w:t>
      </w:r>
      <w:r>
        <w:lastRenderedPageBreak/>
        <w:t>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LODF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r>
      <w:r>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r>
        <w:rPr>
          <w:b/>
          <w:highlight w:val="green"/>
        </w:rPr>
        <w:t>[INSERT PHOTOGRAPH HERE — Figure 5.1A: the play station]</w:t>
      </w:r>
    </w:p>
    <w:p>
      <w:pPr>
        <w:pStyle w:val="FigureCaption"/>
      </w:pPr>
      <w:r>
        <w:t>Figure 5.1A. The Stage-2 play station: the InBody pressure panel and display configured for the skiing game. Photograph to be inserted by the author.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rPr>
          <w:b/>
          <w:highlight w:val="green"/>
        </w:rPr>
        <w:t>[INSERT SCREENSHOTS HERE — Figure 5.1B: the game artefact]</w:t>
      </w:r>
    </w:p>
    <w:p>
      <w:pPr>
        <w:pStyle w:val="FigureCaption"/>
      </w:pPr>
      <w:r>
        <w:t>Figure 5.1B. The deployed game artefact: screenshots of the skiing game at difficulty levels 1 to 5, taken from the Stage-2 build. Screenshots to be inserted by the author (see also Appendix G, item G.6).</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rPr>
          <w:noProof/>
        </w:rPr>
        <w:lastRenderedPageBreak/>
        <w:drawing>
          <wp:inline distT="0" distB="0" distL="0" distR="0" wp14:anchorId="4AB19B6A" wp14:editId="47C9D2D5">
            <wp:extent cx="4921878" cy="3142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png"/>
                    <pic:cNvPicPr/>
                  </pic:nvPicPr>
                  <pic:blipFill rotWithShape="1">
                    <a:blip r:embed="rId13"/>
                    <a:srcRect l="13797" r="2204" b="19356"/>
                    <a:stretch>
                      <a:fillRect/>
                    </a:stretch>
                  </pic:blipFill>
                  <pic:spPr bwMode="auto">
                    <a:xfrm>
                      <a:off x="0" y="0"/>
                      <a:ext cx="4967173" cy="3171359"/>
                    </a:xfrm>
                    <a:prstGeom prst="rect">
                      <a:avLst/>
                    </a:prstGeom>
                    <a:ln>
                      <a:noFill/>
                    </a:ln>
                    <a:extLst>
                      <a:ext uri="{53640926-AAD7-44D8-BBD7-CCE9431645EC}">
                        <a14:shadowObscured xmlns:a14="http://schemas.microsoft.com/office/drawing/2010/main"/>
                      </a:ext>
                    </a:extLs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 xml:space="preserve">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(GPT-class or Claude-class)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w:t>
      </w:r>
      <w:r>
        <w:lastRenderedPageBreak/>
        <w:t>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r>
      <w:r>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r>
      <w:r>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r>
      <w:r>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offered as a small methodological contribution rather than as a major one. Engineering doctoral programmes increasingly involve software components whose construction is itself an act of design. Documenting the AI-assisted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r>
      <w:r>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rPr>
          <w:noProof/>
        </w:rPr>
        <w:drawing>
          <wp:inline distT="0" distB="0" distL="0" distR="0" wp14:anchorId="22206955" wp14:editId="6CE23062">
            <wp:extent cx="5629521" cy="25784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png"/>
                    <pic:cNvPicPr/>
                  </pic:nvPicPr>
                  <pic:blipFill rotWithShape="1">
                    <a:blip r:embed="rId14"/>
                    <a:srcRect l="3546" t="7540" r="4573" b="22177"/>
                    <a:stretch>
                      <a:fillRect/>
                    </a:stretch>
                  </pic:blipFill>
                  <pic:spPr bwMode="auto">
                    <a:xfrm>
                      <a:off x="0" y="0"/>
                      <a:ext cx="5695568" cy="2608738"/>
                    </a:xfrm>
                    <a:prstGeom prst="rect">
                      <a:avLst/>
                    </a:prstGeom>
                    <a:ln>
                      <a:noFill/>
                    </a:ln>
                    <a:extLst>
                      <a:ext uri="{53640926-AAD7-44D8-BBD7-CCE9431645EC}">
                        <a14:shadowObscured xmlns:a14="http://schemas.microsoft.com/office/drawing/2010/main"/>
                      </a:ext>
                    </a:extLs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r>
      <w:r>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r>
        <w:rPr>
          <w:b/>
          <w:highlight w:val="green"/>
        </w:rPr>
        <w:t>[INSERT PHOTOGRAPH(S) HERE — Figure 5.3A: participants playing]</w:t>
      </w:r>
    </w:p>
    <w:p>
      <w:pPr>
        <w:pStyle w:val="FigureCaption"/>
      </w:pPr>
      <w:r>
        <w:t>Figure 5.3A. Participants playing the skiing game on the InBody pressure panel during the Stage-2 deployment. Photographs used with written consent; identifying features obscured where required.</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w:t>
      </w:r>
      <w:r>
        <w:t>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pStyle w:val="TableCaption"/>
        <w:jc w:val="center"/>
      </w:pPr>
      <w:bookmarkStart w:id="88" w:name="_Toc232024700"/>
      <w:r>
        <w:t>Table 5.3. Stage-2 outcomes by motivational orientation.</w:t>
      </w:r>
      <w:bookmarkEnd w:id="88"/>
    </w:p>
    <w:tbl>
      <w:tblPr>
        <w:tblStyle w:val="TableGrid"/>
        <w:tblW w:w="0" w:type="auto"/>
        <w:jc w:val="center"/>
        <w:tblLook w:val="04A0" w:firstRow="1" w:lastRow="0" w:firstColumn="1" w:lastColumn="0" w:noHBand="0" w:noVBand="1"/>
      </w:tblPr>
      <w:tblGrid>
        <w:gridCol w:w="2405"/>
        <w:gridCol w:w="1842"/>
        <w:gridCol w:w="2124"/>
        <w:gridCol w:w="2124"/>
      </w:tblGrid>
      <w:tr w:rsidR="0062437E" w14:paraId="4F6D0DDF" w14:textId="77777777" w:rsidTr="006D68FE">
        <w:trPr>
          <w:jc w:val="center"/>
        </w:trPr>
        <w:tc>
          <w:tcPr>
            <w:tcW w:w="2405" w:type="dxa"/>
          </w:tcPr>
          <w:p w14:paraId="6314C450" w14:textId="77777777" w:rsidR="0062437E" w:rsidRDefault="00000000">
            <w:r>
              <w:rPr>
                <w:b/>
                <w:sz w:val="20"/>
              </w:rPr>
              <w:t>Orientation</w:t>
            </w:r>
          </w:p>
        </w:tc>
        <w:tc>
          <w:tcPr>
            <w:tcW w:w="1842" w:type="dxa"/>
          </w:tcPr>
          <w:p w14:paraId="2EBC2FC5" w14:textId="77777777" w:rsidR="0062437E" w:rsidRDefault="00000000">
            <w:r>
              <w:rPr>
                <w:b/>
                <w:sz w:val="20"/>
              </w:rPr>
              <w:t>n</w:t>
            </w:r>
          </w:p>
        </w:tc>
        <w:tc>
          <w:tcPr>
            <w:tcW w:w="2124" w:type="dxa"/>
          </w:tcPr>
          <w:p w14:paraId="048151F7" w14:textId="77777777" w:rsidR="0062437E" w:rsidRDefault="00000000">
            <w:r>
              <w:rPr>
                <w:b/>
                <w:sz w:val="20"/>
              </w:rPr>
              <w:t>Sustained</w:t>
            </w:r>
          </w:p>
        </w:tc>
        <w:tc>
          <w:tcPr>
            <w:tcW w:w="2124" w:type="dxa"/>
          </w:tcPr>
          <w:p w14:paraId="70322973" w14:textId="77777777" w:rsidR="00EE7E37" w:rsidRDefault="00000000">
            <w:r>
              <w:t>Positive FRA-index change</w:t>
            </w:r>
          </w:p>
        </w:tc>
      </w:tr>
      <w:tr w:rsidR="0062437E" w14:paraId="115C0C1B" w14:textId="77777777" w:rsidTr="006D68FE">
        <w:trPr>
          <w:jc w:val="center"/>
        </w:trPr>
        <w:tc>
          <w:tcPr>
            <w:tcW w:w="2405" w:type="dxa"/>
          </w:tcPr>
          <w:p w14:paraId="25BA0FD6" w14:textId="77777777" w:rsidR="0062437E" w:rsidRDefault="00000000">
            <w:r>
              <w:rPr>
                <w:sz w:val="20"/>
              </w:rPr>
              <w:t>Learning-focused</w:t>
            </w:r>
          </w:p>
        </w:tc>
        <w:tc>
          <w:tcPr>
            <w:tcW w:w="1842" w:type="dxa"/>
          </w:tcPr>
          <w:p w14:paraId="6DFE46D4" w14:textId="77777777" w:rsidR="0062437E" w:rsidRDefault="00000000">
            <w:r>
              <w:rPr>
                <w:sz w:val="20"/>
              </w:rPr>
              <w:t>8</w:t>
            </w:r>
          </w:p>
        </w:tc>
        <w:tc>
          <w:tcPr>
            <w:tcW w:w="2124" w:type="dxa"/>
          </w:tcPr>
          <w:p w14:paraId="4EF014CC" w14:textId="77777777" w:rsidR="0062437E" w:rsidRDefault="00000000">
            <w:r>
              <w:rPr>
                <w:sz w:val="20"/>
              </w:rPr>
              <w:t>87.5%</w:t>
            </w:r>
          </w:p>
        </w:tc>
        <w:tc>
          <w:tcPr>
            <w:tcW w:w="2124" w:type="dxa"/>
          </w:tcPr>
          <w:p w14:paraId="6B5AB198" w14:textId="77777777" w:rsidR="0062437E" w:rsidRDefault="00000000">
            <w:r>
              <w:rPr>
                <w:sz w:val="20"/>
              </w:rPr>
              <w:t>85.7%</w:t>
            </w:r>
          </w:p>
        </w:tc>
      </w:tr>
      <w:tr w:rsidR="0062437E" w14:paraId="77AE0A3E" w14:textId="77777777" w:rsidTr="006D68FE">
        <w:trPr>
          <w:jc w:val="center"/>
        </w:trPr>
        <w:tc>
          <w:tcPr>
            <w:tcW w:w="2405" w:type="dxa"/>
          </w:tcPr>
          <w:p w14:paraId="13493344" w14:textId="77777777" w:rsidR="0062437E" w:rsidRDefault="00000000">
            <w:r>
              <w:rPr>
                <w:sz w:val="20"/>
              </w:rPr>
              <w:t>Health-deficit-focused</w:t>
            </w:r>
          </w:p>
        </w:tc>
        <w:tc>
          <w:tcPr>
            <w:tcW w:w="1842" w:type="dxa"/>
          </w:tcPr>
          <w:p w14:paraId="7A4067CE" w14:textId="77777777" w:rsidR="0062437E" w:rsidRDefault="00000000">
            <w:r>
              <w:rPr>
                <w:sz w:val="20"/>
              </w:rPr>
              <w:t>22</w:t>
            </w:r>
          </w:p>
        </w:tc>
        <w:tc>
          <w:tcPr>
            <w:tcW w:w="2124" w:type="dxa"/>
          </w:tcPr>
          <w:p w14:paraId="13DB3B35" w14:textId="77777777" w:rsidR="0062437E" w:rsidRDefault="00000000">
            <w:r>
              <w:rPr>
                <w:sz w:val="20"/>
              </w:rPr>
              <w:t>18.2%</w:t>
            </w:r>
          </w:p>
        </w:tc>
        <w:tc>
          <w:tcPr>
            <w:tcW w:w="2124" w:type="dxa"/>
          </w:tcPr>
          <w:p w14:paraId="5C7B0CFC" w14:textId="77777777" w:rsidR="0062437E" w:rsidRDefault="00000000">
            <w:r>
              <w:rPr>
                <w:sz w:val="20"/>
              </w:rPr>
              <w:t>50.0%</w:t>
            </w:r>
          </w:p>
        </w:tc>
      </w:tr>
    </w:tbl>
    <w:p w14:paraId="6ACBDF89" w14:textId="77777777" w:rsidR="0062437E" w:rsidRDefault="0062437E">
      <w:pPr>
        <w:pStyle w:val="AuthorAction"/>
        <w:spacing w:after="40"/>
      </w:pPr>
      <w:r>
        <w:rPr>
          <w:b/>
          <w:highlight w:val="yellow"/>
        </w:rPr>
        <w:t>[AUTHOR INPUT REQUIRED — Table 5.3 support. The week-2 motivational-orientation classification does not appear in the archived dataset, so the odds ratio of 31.5 cannot be reproduced from the data supplied. Either provide the coding records behind the classification (rubric, coders, inter-coder agreement, classification dates) or withdraw Table 5.3 and the odds ratio, and rely on the satisfaction association reported above, which is reproducible from the archive.]</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5.4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5.4.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rPr>
              <w:t>User need (voice of the user)</w:t>
            </w:r>
          </w:p>
        </w:tc>
        <w:tc>
          <w:tcPr>
            <w:tcW w:type="dxa" w:w="1215"/>
          </w:tcPr>
          <w:p>
            <w:r/>
            <w:r>
              <w:rPr>
                <w:b/>
              </w:rPr>
              <w:t>Evidence from the data</w:t>
            </w:r>
          </w:p>
        </w:tc>
        <w:tc>
          <w:tcPr>
            <w:tcW w:type="dxa" w:w="1215"/>
          </w:tcPr>
          <w:p>
            <w:r/>
            <w:r>
              <w:rPr>
                <w:b/>
              </w:rPr>
              <w:t>Construct</w:t>
            </w:r>
          </w:p>
        </w:tc>
        <w:tc>
          <w:tcPr>
            <w:tcW w:type="dxa" w:w="1215"/>
          </w:tcPr>
          <w:p>
            <w:r/>
            <w:r>
              <w:rPr>
                <w:b/>
              </w:rPr>
              <w:t>Adaptive difficulty (L2)</w:t>
            </w:r>
          </w:p>
        </w:tc>
        <w:tc>
          <w:tcPr>
            <w:tcW w:type="dxa" w:w="1215"/>
          </w:tcPr>
          <w:p>
            <w:r/>
            <w:r>
              <w:rPr>
                <w:b/>
              </w:rPr>
              <w:t>Loss-free states</w:t>
            </w:r>
          </w:p>
        </w:tc>
        <w:tc>
          <w:tcPr>
            <w:tcW w:type="dxa" w:w="1215"/>
          </w:tcPr>
          <w:p>
            <w:r/>
            <w:r>
              <w:rPr>
                <w:b/>
              </w:rPr>
              <w:t>Trajectory display (L5)</w:t>
            </w:r>
          </w:p>
        </w:tc>
        <w:tc>
          <w:tcPr>
            <w:tcW w:type="dxa" w:w="1215"/>
          </w:tcPr>
          <w:p>
            <w:r/>
            <w:r>
              <w:rPr>
                <w:b/>
              </w:rPr>
              <w:t>Coaching (L6)</w:t>
            </w:r>
          </w:p>
        </w:tc>
      </w:tr>
      <w:tr>
        <w:tc>
          <w:tcPr>
            <w:tcW w:type="dxa" w:w="1215"/>
          </w:tcPr>
          <w:p>
            <w:r/>
            <w:r>
              <w:t>Challenge that matches my ability</w:t>
            </w:r>
          </w:p>
        </w:tc>
        <w:tc>
          <w:tcPr>
            <w:tcW w:type="dxa" w:w="1215"/>
          </w:tcPr>
          <w:p>
            <w:r/>
            <w:r>
              <w:t>70.0% disengaged at ≤3 cycles; satisfaction 9/9 among sustained vs 11/21 (p = .013)</w:t>
            </w:r>
          </w:p>
        </w:tc>
        <w:tc>
          <w:tcPr>
            <w:tcW w:type="dxa" w:w="1215"/>
          </w:tcPr>
          <w:p>
            <w:r/>
            <w:r>
              <w:t>Flow / PEOU (TAM)</w:t>
            </w:r>
          </w:p>
        </w:tc>
        <w:tc>
          <w:tcPr>
            <w:tcW w:type="dxa" w:w="1215"/>
          </w:tcPr>
          <w:p>
            <w:r/>
            <w:r>
              <w:t>●</w:t>
            </w:r>
          </w:p>
        </w:tc>
        <w:tc>
          <w:tcPr>
            <w:tcW w:type="dxa" w:w="1215"/>
          </w:tcPr>
          <w:p>
            <w:r/>
            <w:r>
              <w:t>◐</w:t>
            </w:r>
          </w:p>
        </w:tc>
        <w:tc>
          <w:tcPr>
            <w:tcW w:type="dxa" w:w="1215"/>
          </w:tcPr>
          <w:p>
            <w:r/>
            <w:r/>
          </w:p>
        </w:tc>
        <w:tc>
          <w:tcPr>
            <w:tcW w:type="dxa" w:w="1215"/>
          </w:tcPr>
          <w:p>
            <w:r/>
            <w:r>
              <w:t>◐</w:t>
            </w:r>
          </w:p>
        </w:tc>
      </w:tr>
      <w:tr>
        <w:tc>
          <w:tcPr>
            <w:tcW w:type="dxa" w:w="1215"/>
          </w:tcPr>
          <w:p>
            <w:r/>
            <w:r>
              <w:t>Failure must not feel like a verdict about me</w:t>
            </w:r>
          </w:p>
        </w:tc>
        <w:tc>
          <w:tcPr>
            <w:tcW w:type="dxa" w:w="1215"/>
          </w:tcPr>
          <w:p>
            <w:r/>
            <w:r>
              <w:t>0/21 re-engagement after disengagement; Stage-1: ~74% adverse first experience among prior users</w:t>
            </w:r>
          </w:p>
        </w:tc>
        <w:tc>
          <w:tcPr>
            <w:tcW w:type="dxa" w:w="1215"/>
          </w:tcPr>
          <w:p>
            <w:r/>
            <w:r>
              <w:t>Loss aversion / D8 (Octalysis)</w:t>
            </w:r>
          </w:p>
        </w:tc>
        <w:tc>
          <w:tcPr>
            <w:tcW w:type="dxa" w:w="1215"/>
          </w:tcPr>
          <w:p>
            <w:r/>
            <w:r>
              <w:t>◐</w:t>
            </w:r>
          </w:p>
        </w:tc>
        <w:tc>
          <w:tcPr>
            <w:tcW w:type="dxa" w:w="1215"/>
          </w:tcPr>
          <w:p>
            <w:r/>
            <w:r>
              <w:t>●</w:t>
            </w:r>
          </w:p>
        </w:tc>
        <w:tc>
          <w:tcPr>
            <w:tcW w:type="dxa" w:w="1215"/>
          </w:tcPr>
          <w:p>
            <w:r/>
            <w:r>
              <w:t>◐</w:t>
            </w:r>
          </w:p>
        </w:tc>
        <w:tc>
          <w:tcPr>
            <w:tcW w:type="dxa" w:w="1215"/>
          </w:tcPr>
          <w:p>
            <w:r/>
            <w:r>
              <w:t>●</w:t>
            </w:r>
          </w:p>
        </w:tc>
      </w:tr>
      <w:tr>
        <w:tc>
          <w:tcPr>
            <w:tcW w:type="dxa" w:w="1215"/>
          </w:tcPr>
          <w:p>
            <w:r/>
            <w:r>
              <w:t>Visible personal progress</w:t>
            </w:r>
          </w:p>
        </w:tc>
        <w:tc>
          <w:tcPr>
            <w:tcW w:type="dxa" w:w="1215"/>
          </w:tcPr>
          <w:p>
            <w:r/>
            <w:r>
              <w:t>Recorded index and self-report diverge (5/8 single-session positive change, 2/8 felt improvement)</w:t>
            </w:r>
          </w:p>
        </w:tc>
        <w:tc>
          <w:tcPr>
            <w:tcW w:type="dxa" w:w="1215"/>
          </w:tcPr>
          <w:p>
            <w:r/>
            <w:r>
              <w:t>Competence (SDT) / D2</w:t>
            </w:r>
          </w:p>
        </w:tc>
        <w:tc>
          <w:tcPr>
            <w:tcW w:type="dxa" w:w="1215"/>
          </w:tcPr>
          <w:p>
            <w:r/>
            <w:r/>
          </w:p>
        </w:tc>
        <w:tc>
          <w:tcPr>
            <w:tcW w:type="dxa" w:w="1215"/>
          </w:tcPr>
          <w:p>
            <w:r/>
            <w:r>
              <w:t>◐</w:t>
            </w:r>
          </w:p>
        </w:tc>
        <w:tc>
          <w:tcPr>
            <w:tcW w:type="dxa" w:w="1215"/>
          </w:tcPr>
          <w:p>
            <w:r/>
            <w:r>
              <w:t>●</w:t>
            </w:r>
          </w:p>
        </w:tc>
        <w:tc>
          <w:tcPr>
            <w:tcW w:type="dxa" w:w="1215"/>
          </w:tcPr>
          <w:p>
            <w:r/>
            <w:r>
              <w:t>◐</w:t>
            </w:r>
          </w:p>
        </w:tc>
      </w:tr>
      <w:tr>
        <w:tc>
          <w:tcPr>
            <w:tcW w:type="dxa" w:w="1215"/>
          </w:tcPr>
          <w:p>
            <w:r/>
            <w:r>
              <w:t>Understandable, non-clinical feedback</w:t>
            </w:r>
          </w:p>
        </w:tc>
        <w:tc>
          <w:tcPr>
            <w:tcW w:type="dxa" w:w="1215"/>
          </w:tcPr>
          <w:p>
            <w:r/>
            <w:r>
              <w:t>60.0% self-reported improvement; satisfaction associated with staying</w:t>
            </w:r>
          </w:p>
        </w:tc>
        <w:tc>
          <w:tcPr>
            <w:tcW w:type="dxa" w:w="1215"/>
          </w:tcPr>
          <w:p>
            <w:r/>
            <w:r>
              <w:t>Gerontechnology anxiety (STAM)</w:t>
            </w:r>
          </w:p>
        </w:tc>
        <w:tc>
          <w:tcPr>
            <w:tcW w:type="dxa" w:w="1215"/>
          </w:tcPr>
          <w:p>
            <w:r/>
            <w:r/>
          </w:p>
        </w:tc>
        <w:tc>
          <w:tcPr>
            <w:tcW w:type="dxa" w:w="1215"/>
          </w:tcPr>
          <w:p>
            <w:r/>
            <w:r>
              <w:t>◐</w:t>
            </w:r>
          </w:p>
        </w:tc>
        <w:tc>
          <w:tcPr>
            <w:tcW w:type="dxa" w:w="1215"/>
          </w:tcPr>
          <w:p>
            <w:r/>
            <w:r>
              <w:t>●</w:t>
            </w:r>
          </w:p>
        </w:tc>
        <w:tc>
          <w:tcPr>
            <w:tcW w:type="dxa" w:w="1215"/>
          </w:tcPr>
          <w:p>
            <w:r/>
            <w:r>
              <w:t>●</w:t>
            </w:r>
          </w:p>
        </w:tc>
      </w:tr>
      <w:tr>
        <w:tc>
          <w:tcPr>
            <w:tcW w:type="dxa" w:w="1215"/>
          </w:tcPr>
          <w:p>
            <w:r/>
            <w:r>
              <w:t>Reward for effort, not only outcome</w:t>
            </w:r>
          </w:p>
        </w:tc>
        <w:tc>
          <w:tcPr>
            <w:tcW w:type="dxa" w:w="1215"/>
          </w:tcPr>
          <w:p>
            <w:r/>
            <w:r>
              <w:t>Coin loop sustained play in completers (≥4 cycles: 9/30)</w:t>
            </w:r>
          </w:p>
        </w:tc>
        <w:tc>
          <w:tcPr>
            <w:tcW w:type="dxa" w:w="1215"/>
          </w:tcPr>
          <w:p>
            <w:r/>
            <w:r>
              <w:t>Learn-to-earn / D4</w:t>
            </w:r>
          </w:p>
        </w:tc>
        <w:tc>
          <w:tcPr>
            <w:tcW w:type="dxa" w:w="1215"/>
          </w:tcPr>
          <w:p>
            <w:r/>
            <w:r>
              <w:t>◐</w:t>
            </w:r>
          </w:p>
        </w:tc>
        <w:tc>
          <w:tcPr>
            <w:tcW w:type="dxa" w:w="1215"/>
          </w:tcPr>
          <w:p>
            <w:r/>
            <w:r/>
          </w:p>
        </w:tc>
        <w:tc>
          <w:tcPr>
            <w:tcW w:type="dxa" w:w="1215"/>
          </w:tcPr>
          <w:p>
            <w:r/>
            <w:r>
              <w:t>◐</w:t>
            </w:r>
          </w:p>
        </w:tc>
        <w:tc>
          <w:tcPr>
            <w:tcW w:type="dxa" w:w="1215"/>
          </w:tcPr>
          <w:p>
            <w:r/>
            <w:r/>
          </w:p>
        </w:tc>
      </w:tr>
      <w:tr>
        <w:tc>
          <w:tcPr>
            <w:tcW w:type="dxa" w:w="1215"/>
          </w:tcPr>
          <w:p>
            <w:r/>
            <w:r>
              <w:t>A reason to come back</w:t>
            </w:r>
          </w:p>
        </w:tc>
        <w:tc>
          <w:tcPr>
            <w:tcW w:type="dxa" w:w="1215"/>
          </w:tcPr>
          <w:p>
            <w:r/>
            <w:r>
              <w:t>No observed return in Stage 2; Stage-3 decoupled cohort returned 15/23</w:t>
            </w:r>
          </w:p>
        </w:tc>
        <w:tc>
          <w:tcPr>
            <w:tcW w:type="dxa" w:w="1215"/>
          </w:tcPr>
          <w:p>
            <w:r/>
            <w:r>
              <w:t>Behavioural intention (TAM/STAM)</w:t>
            </w:r>
          </w:p>
        </w:tc>
        <w:tc>
          <w:tcPr>
            <w:tcW w:type="dxa" w:w="1215"/>
          </w:tcPr>
          <w:p>
            <w:r/>
            <w:r>
              <w:t>◐</w:t>
            </w:r>
          </w:p>
        </w:tc>
        <w:tc>
          <w:tcPr>
            <w:tcW w:type="dxa" w:w="1215"/>
          </w:tcPr>
          <w:p>
            <w:r/>
            <w:r>
              <w:t>●</w:t>
            </w:r>
          </w:p>
        </w:tc>
        <w:tc>
          <w:tcPr>
            <w:tcW w:type="dxa" w:w="1215"/>
          </w:tcPr>
          <w:p>
            <w:r/>
            <w:r>
              <w:t>●</w:t>
            </w:r>
          </w:p>
        </w:tc>
        <w:tc>
          <w:tcPr>
            <w:tcW w:type="dxa" w:w="1215"/>
          </w:tcPr>
          <w:p>
            <w:r/>
            <w: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t xml:space="preserve">A provisional FIAS composite score was applied to the thirty participants using STAM- and Octalysis-derived attributes. </w:t>
      </w:r>
      <w:r>
        <w:t xml:space="preserve">The composite is assembled from thirteen binary attributes drawn from STAM and selected Octalysis drives and is reported on a 0–10 range; the rule that maps the thirteen items onto that range is specified in the codebook in Appendix B </w:t>
      </w:r>
      <w:r>
        <w:rPr>
          <w:b/>
          <w:highlight w:val="yellow"/>
        </w:rPr>
        <w:t>[AUTHOR INPUT REQUIRED: state the weighting or collapsing rule that maps the thirteen items onto the 0–10 composite]</w:t>
      </w:r>
      <w:r>
        <w:t xml:space="preserve">. </w:t>
      </w:r>
      <w:r>
        <w:t xml:space="preserve"> Six participants clustered at scores 9-10 (F4). Three of the six recorded positive change in the FRA index during their single session and did not return during the observation period. This is termed the objective-score-improvement/non-return paradox. The observation shows a divergence between recorded score direction and return behaviour; it does not by itself establish clinical benefit, mental-account closure or identity protection.</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FIAS composite scores across all 30 participants. Threshold gap visible between scores 5 and 9.</w:t>
      </w:r>
      <w:bookmarkEnd w:id="89"/>
    </w:p>
    <w:p w14:paraId="09577253" w14:textId="77777777" w:rsidR="0062437E" w:rsidRDefault="00000000">
      <w:pPr>
        <w:jc w:val="both"/>
      </w:pPr>
      <w:r>
        <w:t>The empty interval in the score distribution requires cautious interpretation. It may reflect a genuine discontinuity, the mechanical effect of scoring thresholds,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 xml:space="preserve">Stage 2 extended the FIAS hypothesis with three candidate theoretical components. First, identity-relevant endowment was proposed as a way to conceptualise resistance to unfavourable revaluation of a valued health self-concept. Second, stereotype threat was proposed as one possible trigger by which clinical or age-related cues increase the salience of decline. Third, domain reframing was identified as a candidate intervention: presenting the task as a coordination challenge may change the meaning of failure. These operators were not directly measured. H5 was therefore reframed as a directional test of </w:t>
      </w:r>
      <w:r>
        <w:lastRenderedPageBreak/>
        <w:t>whether a participant-facing decoupling package is associated with more post-failure return, not as a definitive test that domain reframing "prevents FIAS".</w:t>
      </w:r>
    </w:p>
    <w:p w14:paraId="36A7C737" w14:textId="77777777" w:rsidR="0062437E" w:rsidRDefault="00000000">
      <w:pPr>
        <w:keepNext/>
        <w:spacing w:before="160" w:after="40"/>
        <w:jc w:val="center"/>
      </w:pPr>
      <w:r>
        <w:rPr>
          <w:noProof/>
        </w:rPr>
        <w:drawing>
          <wp:inline distT="0" distB="0" distL="0" distR="0" wp14:anchorId="62135693" wp14:editId="0D3BE731">
            <wp:extent cx="5745172" cy="2683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png"/>
                    <pic:cNvPicPr/>
                  </pic:nvPicPr>
                  <pic:blipFill rotWithShape="1">
                    <a:blip r:embed="rId17"/>
                    <a:srcRect l="5195" r="5120" b="24471"/>
                    <a:stretch>
                      <a:fillRect/>
                    </a:stretch>
                  </pic:blipFill>
                  <pic:spPr bwMode="auto">
                    <a:xfrm>
                      <a:off x="0" y="0"/>
                      <a:ext cx="5790435" cy="2704521"/>
                    </a:xfrm>
                    <a:prstGeom prst="rect">
                      <a:avLst/>
                    </a:prstGeom>
                    <a:ln>
                      <a:noFill/>
                    </a:ln>
                    <a:extLst>
                      <a:ext uri="{53640926-AAD7-44D8-BBD7-CCE9431645EC}">
                        <a14:shadowObscured xmlns:a14="http://schemas.microsoft.com/office/drawing/2010/main"/>
                      </a:ext>
                    </a:extLs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t>Stage 2 has important limitations. The sample is small, drawn from one site,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is not in the archived dataset and may be affected by reverse causality;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Stage 2 left two questions unresolved. First, was the low proportion classified as learning-oriented a stable characteristic of the Guangzhou cohort, an artefact of the week-2 coding scheme, or a response shaped by the clinical-game context? Second, would post-failure return differ when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t>Stage 3 made three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is not psychometrically equivalent to the Stage-2 week-2 learning-orientation classification and should not be used as a direct 2.7-fold measure of latent orientation change.</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 xml:space="preserve">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w:t>
      </w:r>
      <w:r>
        <w:lastRenderedPageBreak/>
        <w:t>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35 aged 25-44, 40 aged 45-64 and 45 aged 65-80. Recruitment materials referred to a coordination challenge and did not use medical or fall-prevention language. Sessions used the same broad pressure-panel and skiing-game configuration as Stage 2, with participant-facing clinical labels removed. Of the 120 participants, 48 were male and 72 female, and all reported high-school education or above.</w:t>
      </w:r>
    </w:p>
    <w:p>
      <w:r>
        <w:rPr>
          <w:b/>
          <w:highlight w:val="yellow"/>
        </w:rPr>
        <w:t>[AUTHOR INPUT REQUIRED: document the Stage-3 recruitment sources, inclusion and exclusion criteria, health and functional characteristics, staff scripts, observation window, and any differences in software version or support model relative to Stage 2, so that cross-stage comparability can be assessed.]</w:t>
      </w:r>
    </w:p>
    <w:p>
      <w:r>
        <w:t xml:space="preserve">The Stage-3 participant-level records were lost to a technical error after the aggregate results had been computed and reported. The archived data logbook (Appendix G, item G.3) therefore preserves the published aggregate results and a reconciliation sheet whose live formulas recompute every published indicator from any records re-entered into it. </w:t>
      </w:r>
      <w:r>
        <w:rPr>
          <w:b/>
          <w:highlight w:val="yellow"/>
        </w:rPr>
        <w:t>[AUTHOR INPUT REQUIRED: transcribe surviving primary records — paper questionnaires, clinician-terminal exports, staff session logs — into the logbook; the reconciliation sheet flags any mismatch with the published aggregates. Rows must come only from primary records, not be reconstructed from memory or from the totals. If the participant-level records prove unrecoverable, retain the data-loss statement in §8.9 and present the Chapter 6 results as resting on the published aggregate record.]</w:t>
      </w:r>
    </w:p>
    <w:p>
      <w:r>
        <w:rPr>
          <w:b/>
          <w:highlight w:val="green"/>
        </w:rPr>
        <w:t>[INSERT PHOTOGRAPH HERE — Figure 6.0A: Stage-3 site]</w:t>
      </w:r>
    </w:p>
    <w:p>
      <w:pPr>
        <w:pStyle w:val="FigureCaption"/>
      </w:pPr>
      <w:r>
        <w:t>Figure 6.0A. The Stage-3 decoupled deployment at the Hong Kong community site. Photograph to be inserted by the author; written consent on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rPr>
                <w:sz w:val="20"/>
              </w:rPr>
              <w:t>35</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rPr>
                <w:sz w:val="20"/>
              </w:rPr>
              <w:t>40</w:t>
            </w:r>
          </w:p>
        </w:tc>
        <w:tc>
          <w:tcPr>
            <w:tcW w:w="1417" w:type="dxa"/>
          </w:tcPr>
          <w:p w14:paraId="02722F22" w14:textId="77777777" w:rsidR="0062437E" w:rsidRDefault="00000000">
            <w:r>
              <w:rPr>
                <w:sz w:val="20"/>
              </w:rPr>
              <w:t>7 (17.5%)</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rPr>
                <w:sz w:val="20"/>
              </w:rPr>
              <w:t>2 (5.0%)</w:t>
            </w:r>
          </w:p>
        </w:tc>
        <w:tc>
          <w:tcPr>
            <w:tcW w:w="1417" w:type="dxa"/>
          </w:tcPr>
          <w:p w14:paraId="5DECC06F" w14:textId="77777777" w:rsidR="0062437E" w:rsidRDefault="00000000">
            <w:r>
              <w:rPr>
                <w:sz w:val="20"/>
              </w:rPr>
              <w:t>95.0%</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rPr>
                <w:sz w:val="20"/>
              </w:rPr>
              <w:t>45</w:t>
            </w:r>
          </w:p>
        </w:tc>
        <w:tc>
          <w:tcPr>
            <w:tcW w:w="1417" w:type="dxa"/>
          </w:tcPr>
          <w:p w14:paraId="789C7D4D" w14:textId="77777777" w:rsidR="0062437E" w:rsidRDefault="00000000">
            <w:r>
              <w:rPr>
                <w:sz w:val="20"/>
              </w:rPr>
              <w:t>16 (35.6%)</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rPr>
                <w:sz w:val="20"/>
              </w:rPr>
              <w:t>6 (13.3%)</w:t>
            </w:r>
          </w:p>
        </w:tc>
        <w:tc>
          <w:tcPr>
            <w:tcW w:w="1417" w:type="dxa"/>
          </w:tcPr>
          <w:p w14:paraId="096D5843" w14:textId="77777777" w:rsidR="0062437E" w:rsidRDefault="00000000">
            <w:r>
              <w:rPr>
                <w:sz w:val="20"/>
              </w:rPr>
              <w:t>86.7%</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51.1% in the 65-80 band. These measures should not be compared as direct multiples of the Stage-2 26.7% learning-orientation classification because the constructs, instruments, timing and coding procedures differ.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rPr>
                <w:sz w:val="20"/>
              </w:rPr>
              <w:t>71.4%</w:t>
            </w:r>
          </w:p>
        </w:tc>
        <w:tc>
          <w:tcPr>
            <w:tcW w:w="1701" w:type="dxa"/>
          </w:tcPr>
          <w:p w14:paraId="6CB33CE3" w14:textId="77777777" w:rsidR="0062437E" w:rsidRDefault="00000000">
            <w:r>
              <w:rPr>
                <w:sz w:val="20"/>
              </w:rPr>
              <w:t>70.0%</w:t>
            </w:r>
          </w:p>
        </w:tc>
        <w:tc>
          <w:tcPr>
            <w:tcW w:w="1701" w:type="dxa"/>
          </w:tcPr>
          <w:p w14:paraId="3333BB3D" w14:textId="77777777" w:rsidR="0062437E" w:rsidRDefault="00000000">
            <w:r>
              <w:rPr>
                <w:sz w:val="20"/>
              </w:rPr>
              <w:t>51.1%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Stage-3 coordination endorsement and Stage-2 motivational orientation are non-equivalent measures. The former tests whether the participant recognised the presented activity as a coordination challenge; the latter was an exploratory week-2 classification partly based on behaviour. They should be reported side-by-side only with this distinction explicit.</w:t>
      </w:r>
    </w:p>
    <w:p>
      <w:r>
        <w:t>Note on Table 6.3: coordination-challenge endorsement was reported in the published summary only as a total (86 of 120, 71.7%); the per-age-band breakdown was lost with the participant-level records and is shown as not preserved. No per-band endorsement claim is made in this thesis.</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048324"/>
            <wp:docPr id="16" name="Picture 16"/>
            <wp:cNvGraphicFramePr>
              <a:graphicFrameLocks noChangeAspect="1"/>
            </wp:cNvGraphicFramePr>
            <a:graphic>
              <a:graphicData uri="http://schemas.openxmlformats.org/drawingml/2006/picture">
                <pic:pic>
                  <pic:nvPicPr>
                    <pic:cNvPr id="0" name="figure_6_1.png"/>
                    <pic:cNvPicPr/>
                  </pic:nvPicPr>
                  <pic:blipFill>
                    <a:blip r:embed="rId25"/>
                    <a:stretch>
                      <a:fillRect/>
                    </a:stretch>
                  </pic:blipFill>
                  <pic:spPr>
                    <a:xfrm>
                      <a:off x="0" y="0"/>
                      <a:ext cx="5303520" cy="3048324"/>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t xml:space="preserve">Figure 6.1 was regenerated directly from the counts reported in Table 6.2. </w:t>
      </w:r>
      <w:r>
        <w:rPr>
          <w:b/>
          <w:highlight w:val="yellow"/>
        </w:rPr>
        <w:t>[AUTHOR: confirm the regenerated chart against the Stage-3 records, or replace it with the original figure file if preferred.]</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 xml:space="preserve">Stage 3 deliberately did not collect participant-level clinical balance telemetry, so the Stage-2 score-improvement/non-return pattern cannot be replicated directly. What Stage 3 measures is a different outcome: whether participants who initially disengaged returned </w:t>
      </w:r>
      <w:r>
        <w:lastRenderedPageBreak/>
        <w:t>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86.7% while stated regular-use intention was 51.1%, a difference of 35.6 percentage points. These are different constructs: one is observed session completion and the other is a hypothetical future intention. The difference is useful as a design diagnostic, but it should not be interpreted as a measured causal effect or as evidence that adaptive learning is the missing mechanism.</w:t>
      </w:r>
    </w:p>
    <w:p w14:paraId="0A108184" w14:textId="77777777" w:rsidR="0062437E" w:rsidRDefault="00000000">
      <w:pPr>
        <w:jc w:val="both"/>
      </w:pPr>
      <w:r>
        <w:t xml:space="preserve">Several explanations are plausible. Participants may have completed a single session but anticipated fatigue, access barriers, scheduling burden, insufficient relevance, motor difficulty or limited enjoyment from repeated play. A missing trajectory frame is one theoretically grounded possibility among these alternatives. The near-term study should therefore combine longitudinal behavioural follow-up with interviews or validated </w:t>
      </w:r>
      <w:r>
        <w:lastRenderedPageBreak/>
        <w:t>measures of fatigue, perceived competence, autonomy, burden, enjoyment and identity relevance before selecting the design lever.</w:t>
      </w:r>
    </w:p>
    <w:p w14:paraId="36455B5A" w14:textId="77777777" w:rsidR="0062437E" w:rsidRDefault="00000000">
      <w:pPr>
        <w:keepNext/>
        <w:spacing w:before="160" w:after="40"/>
        <w:jc w:val="center"/>
      </w:pPr>
      <w:r>
        <w:rPr>
          <w:noProof/>
        </w:rPr>
        <w:drawing>
          <wp:inline distT="0" distB="0" distL="0" distR="0" wp14:anchorId="27E13A6F" wp14:editId="068B8E04">
            <wp:extent cx="5120640" cy="31706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png"/>
                    <pic:cNvPicPr/>
                  </pic:nvPicPr>
                  <pic:blipFill>
                    <a:blip r:embed="rId19"/>
                    <a:stretch>
                      <a:fillRect/>
                    </a:stretch>
                  </pic:blipFill>
                  <pic:spPr>
                    <a:xfrm>
                      <a:off x="0" y="0"/>
                      <a:ext cx="5120640" cy="3170692"/>
                    </a:xfrm>
                    <a:prstGeom prst="rect">
                      <a:avLst/>
                    </a:prstGeom>
                  </pic:spPr>
                </pic:pic>
              </a:graphicData>
            </a:graphic>
          </wp:inline>
        </w:drawing>
      </w:r>
    </w:p>
    <w:p w14:paraId="1DCE6097" w14:textId="77777777" w:rsidR="0062437E" w:rsidRDefault="00000000">
      <w:pPr>
        <w:pStyle w:val="FigureCaption"/>
        <w:jc w:val="center"/>
      </w:pPr>
      <w:bookmarkStart w:id="102" w:name="_Toc232024691"/>
      <w:r>
        <w:t>Figure 6.3. Retention versus regular-use intention by age band: the 35.6-pp commitment gap in the 65–80 band.</w:t>
      </w:r>
      <w:bookmarkEnd w:id="102"/>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t>Stage 3 has material limitations. It is a between-cycle, between-cohort comparison;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is not equivalent to the Stage-2 orientation classification, and the complete LODF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r>
      <w:r>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r>
              <w:t>Early disengagement, ≤ 3 cycles (Stage 2)</w:t>
            </w:r>
          </w:p>
        </w:tc>
        <w:tc>
          <w:tcPr>
            <w:tcW w:w="1092" w:type="dxa"/>
          </w:tcPr>
          <w:p>
            <w:r/>
            <w:r>
              <w:t>70.0%</w:t>
            </w:r>
          </w:p>
        </w:tc>
        <w:tc>
          <w:tcPr>
            <w:tcW w:w="1280" w:type="dxa"/>
          </w:tcPr>
          <w:p>
            <w:r/>
            <w:r>
              <w:t>52.1–83.3%*</w:t>
            </w:r>
          </w:p>
        </w:tc>
        <w:tc>
          <w:tcPr>
            <w:tcW w:w="605" w:type="dxa"/>
          </w:tcPr>
          <w:p>
            <w:r/>
            <w:r>
              <w:t>30</w:t>
            </w:r>
          </w:p>
        </w:tc>
        <w:tc>
          <w:tcPr>
            <w:tcW w:w="2090" w:type="dxa"/>
          </w:tcPr>
          <w:p>
            <w:r/>
            <w:r>
              <w:t>Wilson score interval; Table 5.2. (Survival modelling withdrawn: no time variable in the archive; §5.5)</w:t>
            </w:r>
          </w:p>
        </w:tc>
      </w:tr>
      <w:tr w:rsidR="0062437E" w14:paraId="2496EADD" w14:textId="77777777" w:rsidTr="006D68FE">
        <w:trPr>
          <w:jc w:val="center"/>
        </w:trPr>
        <w:tc>
          <w:tcPr>
            <w:tcW w:w="3114" w:type="dxa"/>
          </w:tcPr>
          <w:p w14:paraId="1DE699E1" w14:textId="77777777" w:rsidR="0062437E" w:rsidRDefault="00000000">
            <w:r>
              <w:rPr>
                <w:sz w:val="18"/>
              </w:rPr>
              <w:t>Motivational orientation and completion (Stage 2, week-2 classification)</w:t>
            </w:r>
          </w:p>
        </w:tc>
        <w:tc>
          <w:tcPr>
            <w:tcW w:w="1092" w:type="dxa"/>
          </w:tcPr>
          <w:p w14:paraId="32AA145F" w14:textId="77777777" w:rsidR="0062437E" w:rsidRDefault="00000000">
            <w:r>
              <w:rPr>
                <w:sz w:val="18"/>
              </w:rPr>
              <w:t>OR = 31.5</w:t>
            </w:r>
          </w:p>
        </w:tc>
        <w:tc>
          <w:tcPr>
            <w:tcW w:w="1280" w:type="dxa"/>
          </w:tcPr>
          <w:p w14:paraId="41DC4CDD" w14:textId="77777777" w:rsidR="0062437E" w:rsidRDefault="00000000">
            <w:r>
              <w:rPr>
                <w:sz w:val="18"/>
              </w:rPr>
              <w:t>2.9–339</w:t>
            </w:r>
          </w:p>
        </w:tc>
        <w:tc>
          <w:tcPr>
            <w:tcW w:w="605" w:type="dxa"/>
          </w:tcPr>
          <w:p w14:paraId="3B7D97A5" w14:textId="77777777" w:rsidR="0062437E" w:rsidRDefault="00000000">
            <w:r>
              <w:rPr>
                <w:sz w:val="18"/>
              </w:rPr>
              <w:t>30</w:t>
            </w:r>
          </w:p>
        </w:tc>
        <w:tc>
          <w:tcPr>
            <w:tcW w:w="2090" w:type="dxa"/>
          </w:tcPr>
          <w:p>
            <w:r/>
            <w:r>
              <w:rPr>
                <w:b/>
                <w:highlight w:val="yellow"/>
              </w:rPr>
              <w:t>Odds ratio; Table 5.3. Classification records not in archive — see §5.5</w:t>
            </w:r>
          </w:p>
        </w:tc>
      </w:tr>
      <w:tr w:rsidR="0062437E" w14:paraId="252E1D0D" w14:textId="77777777" w:rsidTr="006D68FE">
        <w:trPr>
          <w:jc w:val="center"/>
        </w:trPr>
        <w:tc>
          <w:tcPr>
            <w:tcW w:w="3114" w:type="dxa"/>
          </w:tcPr>
          <w:p>
            <w:r/>
            <w:r>
              <w:t>FRA index change, sustained participants (Stage 2)</w:t>
            </w:r>
          </w:p>
        </w:tc>
        <w:tc>
          <w:tcPr>
            <w:tcW w:w="1092" w:type="dxa"/>
          </w:tcPr>
          <w:p>
            <w:r/>
            <w:r>
              <w:t>dz = 2.22 (paired); mean +6.9 points</w:t>
            </w:r>
          </w:p>
        </w:tc>
        <w:tc>
          <w:tcPr>
            <w:tcW w:w="1280" w:type="dxa"/>
          </w:tcPr>
          <w:p>
            <w:r/>
            <w:r>
              <w:t>dz 0.95–3.46; mean 4.5–9.3</w:t>
            </w:r>
          </w:p>
        </w:tc>
        <w:tc>
          <w:tcPr>
            <w:tcW w:w="605" w:type="dxa"/>
          </w:tcPr>
          <w:p>
            <w:r/>
            <w:r>
              <w:t>9</w:t>
            </w:r>
          </w:p>
        </w:tc>
        <w:tc>
          <w:tcPr>
            <w:tcW w:w="2090" w:type="dxa"/>
          </w:tcPr>
          <w:p>
            <w:r/>
            <w:r>
              <w:t>Paired t and Wilcoxon; §5.5</w:t>
            </w:r>
          </w:p>
        </w:tc>
      </w:tr>
      <w:tr w:rsidR="0062437E" w14:paraId="305A8ACF" w14:textId="77777777" w:rsidTr="006D68FE">
        <w:trPr>
          <w:jc w:val="center"/>
        </w:trPr>
        <w:tc>
          <w:tcPr>
            <w:tcW w:w="3114" w:type="dxa"/>
          </w:tcPr>
          <w:p>
            <w:r/>
            <w:r>
              <w:t>FRA index change, all participants (Stage 2, archived paired data)</w:t>
            </w:r>
          </w:p>
        </w:tc>
        <w:tc>
          <w:tcPr>
            <w:tcW w:w="1092" w:type="dxa"/>
          </w:tcPr>
          <w:p>
            <w:r/>
            <w:r>
              <w:t>dz = 0.42; mean +4.0 points</w:t>
            </w:r>
          </w:p>
        </w:tc>
        <w:tc>
          <w:tcPr>
            <w:tcW w:w="1280" w:type="dxa"/>
          </w:tcPr>
          <w:p>
            <w:r/>
            <w:r>
              <w:t>dz 0.05–0.79; mean 0.5–7.6</w:t>
            </w:r>
          </w:p>
        </w:tc>
        <w:tc>
          <w:tcPr>
            <w:tcW w:w="605" w:type="dxa"/>
          </w:tcPr>
          <w:p>
            <w:r/>
            <w:r>
              <w:t>30</w:t>
            </w:r>
          </w:p>
        </w:tc>
        <w:tc>
          <w:tcPr>
            <w:tcW w:w="2090" w:type="dxa"/>
          </w:tcPr>
          <w:p>
            <w:r/>
            <w:r>
              <w:t>Paired t and Wilcoxon; §5.5</w:t>
            </w:r>
          </w:p>
        </w:tc>
      </w:tr>
      <w:tr w:rsidR="0062437E" w14:paraId="78498404" w14:textId="77777777" w:rsidTr="006D68FE">
        <w:trPr>
          <w:jc w:val="center"/>
        </w:trPr>
        <w:tc>
          <w:tcPr>
            <w:tcW w:w="3114" w:type="dxa"/>
          </w:tcPr>
          <w:p>
            <w:r/>
            <w:r>
              <w:t>Satisfaction association with sustained engagement (Stage 2)</w:t>
            </w:r>
          </w:p>
        </w:tc>
        <w:tc>
          <w:tcPr>
            <w:tcW w:w="1092" w:type="dxa"/>
          </w:tcPr>
          <w:p>
            <w:r/>
            <w:r>
              <w:t>9/9 vs 11/21 satisfied</w:t>
            </w:r>
          </w:p>
        </w:tc>
        <w:tc>
          <w:tcPr>
            <w:tcW w:w="1280" w:type="dxa"/>
          </w:tcPr>
          <w:p>
            <w:r/>
            <w:r>
              <w:t>p = 0.013</w:t>
            </w:r>
          </w:p>
        </w:tc>
        <w:tc>
          <w:tcPr>
            <w:tcW w:w="605" w:type="dxa"/>
          </w:tcPr>
          <w:p>
            <w:r/>
            <w:r>
              <w:t>30</w:t>
            </w:r>
          </w:p>
        </w:tc>
        <w:tc>
          <w:tcPr>
            <w:tcW w:w="2090" w:type="dxa"/>
          </w:tcPr>
          <w:p>
            <w:r/>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rPr>
                <w:sz w:val="18"/>
              </w:rPr>
              <w:t>13.3%</w:t>
            </w:r>
          </w:p>
        </w:tc>
        <w:tc>
          <w:tcPr>
            <w:tcW w:w="1280" w:type="dxa"/>
          </w:tcPr>
          <w:p w14:paraId="16BDF4BA" w14:textId="77777777" w:rsidR="0062437E" w:rsidRDefault="00000000">
            <w:r>
              <w:rPr>
                <w:sz w:val="18"/>
              </w:rPr>
              <w:t>6.3–26.2%*</w:t>
            </w:r>
          </w:p>
        </w:tc>
        <w:tc>
          <w:tcPr>
            <w:tcW w:w="605" w:type="dxa"/>
          </w:tcPr>
          <w:p w14:paraId="106237E0" w14:textId="77777777" w:rsidR="0062437E" w:rsidRDefault="00000000">
            <w:r>
              <w:rPr>
                <w:sz w:val="18"/>
              </w:rPr>
              <w:t>45</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rPr>
                <w:sz w:val="18"/>
              </w:rPr>
              <w:t>51.1%</w:t>
            </w:r>
          </w:p>
        </w:tc>
        <w:tc>
          <w:tcPr>
            <w:tcW w:w="1280" w:type="dxa"/>
          </w:tcPr>
          <w:p w14:paraId="102F2A94" w14:textId="77777777" w:rsidR="0062437E" w:rsidRDefault="00000000">
            <w:r>
              <w:rPr>
                <w:sz w:val="18"/>
              </w:rPr>
              <w:t>37.0–65.0%*</w:t>
            </w:r>
          </w:p>
        </w:tc>
        <w:tc>
          <w:tcPr>
            <w:tcW w:w="605" w:type="dxa"/>
          </w:tcPr>
          <w:p w14:paraId="7C812AF5" w14:textId="77777777" w:rsidR="0062437E" w:rsidRDefault="00000000">
            <w:r>
              <w:rPr>
                <w:sz w:val="18"/>
              </w:rPr>
              <w:t>45</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rPr>
                <w:sz w:val="18"/>
              </w:rPr>
              <w:t>35.6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rPr>
                <w:sz w:val="18"/>
              </w:rPr>
              <w:t>45</w:t>
            </w:r>
          </w:p>
        </w:tc>
        <w:tc>
          <w:tcPr>
            <w:tcW w:w="2090" w:type="dxa"/>
          </w:tcPr>
          <w:p w14:paraId="67A137BA" w14:textId="77777777" w:rsidR="00EE7E37" w:rsidRDefault="00000000">
            <w:r>
              <w:t>Difference between distinct outcomes (86.7% retention and 51.1%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35.6-percentage-point difference should respect the fact that retention and intention are distinct measures and may not represent a simple paired effect. The very wide interval around the week-2 motivational-orientation odds ratio, together with the absence of the classification from the archive, means that estimate should be treated as exploratory pending the author's coding records.</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Pr>
      <w:r>
        <w:lastRenderedPageBreak/>
        <w:t>Chapter 7 Discussion: Adaptive Learning and the Learning-Oriented Design Framework</w:t>
      </w:r>
      <w:bookmarkEnd w:id="111"/>
    </w:p>
    <w:p w14:paraId="108FF019" w14:textId="77777777" w:rsidR="0062437E" w:rsidRDefault="00000000">
      <w:pPr>
        <w:pStyle w:val="Heading2"/>
      </w:pPr>
      <w:r>
        <w:t>7.1 Why the Empirical Programme Motivates Adaptive Learning</w:t>
      </w:r>
    </w:p>
    <w:p w14:paraId="7CFAB031" w14:textId="77777777" w:rsidR="0062437E" w:rsidRDefault="00000000">
      <w:pPr>
        <w:jc w:val="both"/>
      </w:pPr>
      <w:r>
        <w:t>Stage 3 showed substantially greater post-failure return under a participant-facing decoupled condition and also revealed a difference between immediate session retention and stated regular-use intention in the oldest age band. Decoupling changes what the activity is not - it reduces overt clinical-verdict cues - but does not necessarily create a compelling positive reason for repeated use. Adaptive learning is introduced as one design response because it can make progress, next steps and personally calibrated challenge visible over time. The empirical programme motivates this response; it does not establish that adaptive learning will close the observed difference.</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LODF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 xml:space="preserve">Adaptive learning has a substantial literature in educational technology and intelligent tutoring systems. Its application to elderly users in gamified health contexts is more limited. Three anchors are relevant. First, intelligent tutoring systems for older learners (Hawthorn, 2007; Lee &amp; Coughlin, 2015) demonstrate that pacing and feedback adaptation matter more for older users than for younger users. Second, flow theory and the zone-of-proximal-development tradition (Csikszentmihalyi 1990; cf. Vygotsky) provide the mechanism for why adaptive calibration sustains engagement: challenge tracks evolving capability, neither falling below boredom nor rising above frustration. Third, productive failure (Kapur, 2008) reframes failure events as part of the learning </w:t>
      </w:r>
      <w:r>
        <w:lastRenderedPageBreak/>
        <w:t>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LODF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LODF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r>
        <w:t>7.4 The Learning-Oriented Design Framework (LODF)</w:t>
      </w:r>
      <w:bookmarkEnd w:id="113"/>
    </w:p>
    <w:p w14:paraId="41ACFB1A" w14:textId="77777777" w:rsidR="0062437E" w:rsidRDefault="00000000">
      <w:pPr>
        <w:jc w:val="both"/>
      </w:pPr>
      <w:r>
        <w:t xml:space="preserve">LODF organises three proposed principles.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w:t>
      </w:r>
      <w:r>
        <w:lastRenderedPageBreak/>
        <w:t>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w:t>
      </w:r>
    </w:p>
    <w:p w14:paraId="2429DB7B" w14:textId="77777777" w:rsidR="0062437E" w:rsidRDefault="00000000">
      <w:pPr>
        <w:pStyle w:val="TableCaption"/>
        <w:jc w:val="center"/>
      </w:pPr>
      <w:bookmarkStart w:id="114" w:name="_Toc232024705"/>
      <w:r>
        <w:t>Table 7.1. LODF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LODF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r>
        <w:t>7.5 Prototype Stack: Engineering-Actionable LODF Implementation</w:t>
      </w:r>
      <w:bookmarkEnd w:id="115"/>
    </w:p>
    <w:p w14:paraId="2BA671F8" w14:textId="77777777" w:rsidR="0062437E" w:rsidRDefault="00000000">
      <w:pPr>
        <w:jc w:val="both"/>
      </w:pPr>
      <w:r>
        <w:t>This section specifies the technical and protocol stack required to deploy LODF on existing FRA infrastructure. The stack extends the Stage-2 five-layer architecture with two additional protocol layers (User-Facing Trajectory Layer and Staff Coaching Protocol Layer) and one new instrumentation layer (LODF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r>
        <w:t>Table 7.2. LODF reference stack (L0–L7) mapped to LODF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LODF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LODF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rPr>
          <w:noProof/>
        </w:rPr>
        <w:lastRenderedPageBreak/>
        <w:drawing>
          <wp:inline distT="0" distB="0" distL="0" distR="0" wp14:anchorId="32D3F330" wp14:editId="664C0D16">
            <wp:extent cx="4836170" cy="31134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png"/>
                    <pic:cNvPicPr/>
                  </pic:nvPicPr>
                  <pic:blipFill>
                    <a:blip r:embed="rId20"/>
                    <a:stretch>
                      <a:fillRect/>
                    </a:stretch>
                  </pic:blipFill>
                  <pic:spPr>
                    <a:xfrm>
                      <a:off x="0" y="0"/>
                      <a:ext cx="4839706" cy="3115681"/>
                    </a:xfrm>
                    <a:prstGeom prst="rect">
                      <a:avLst/>
                    </a:prstGeom>
                  </pic:spPr>
                </pic:pic>
              </a:graphicData>
            </a:graphic>
          </wp:inline>
        </w:drawing>
      </w:r>
    </w:p>
    <w:p w14:paraId="2910E907" w14:textId="77777777" w:rsidR="0062437E" w:rsidRDefault="00000000">
      <w:pPr>
        <w:pStyle w:val="FigureCaption"/>
        <w:jc w:val="center"/>
      </w:pPr>
      <w:bookmarkStart w:id="118" w:name="_Toc232024692"/>
      <w:r>
        <w:t>Figure 7.1. LODF reference stack: existing five-layer FRA architecture (L0–L4) extended with three additional layers (L5 User-Facing Trajectory; L6 Staff Coaching Protocol; L7 LODF Telemetry).</w:t>
      </w:r>
      <w:bookmarkEnd w:id="118"/>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 xml:space="preserve">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w:t>
      </w:r>
      <w:r>
        <w:lastRenderedPageBreak/>
        <w:t>standardised, culturally adapted and audited for fidelity; coaching should not pressure a participant who chooses not to continue.</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r>
      <w:r>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r>
      <w:r>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LODF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LODF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r>
      <w:r>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Pr>
      <w:r>
        <w:lastRenderedPageBreak/>
        <w:t>Chapter 8 Contributions, Alternative Explanations, Limitations and Ethics</w:t>
      </w:r>
      <w:bookmarkEnd w:id="130"/>
    </w:p>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t>The thesis makes four principal theoretical contributions. First, it identifies failure-associated non-return as a post-contact behaviour that is not explicit in standard acceptance and gamification models. Second, it develops the FIDS-to-FIAS terminological revision and defines FIAS as a provisional, non-diagnostic behavioural construct. Third, it integrates self-efficacy, loss aversion, identity-relevant endowment, mental accounting and stereotype threat into a candidate frame-sensitive account that yields testable predictions. Fourth, it proposes that learning-trajectory appraisal can compete with a fixed-verdict appraisal and translates that proposition into LODF. The thesis does not claim to have verified mental accounting, established an entropy collapse, dissolved the score-improvement/non-return paradox, or demonstrated mutual exclusivity between endowment and adaptive learning.</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dual-purpose mechanic linking gameplay and a measurement pathway in one physical action; documentation of the Claude Code-assisted development workflow; theory-iterating action research with explicit revision points; a between-cohort quasi-experimental participant-facing decoupling comparison; and the use of a commitment-gap description to separate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an exploratory week-2 motivational-orientation odds ratio of 31.5 whose coding records remain to be archived; recorded-index increase without self-reported improvement or return among most single-session participants; 65.2% return among Stage-3 initial dropouts overall and 62.5% in the 65-80 band, pending completion of the Stage-3 data logbook; 71.7% coordination-frame endorsement as a manipulation check; 63.3% regular-use intention overall; and a descriptive 35.6-percentage-point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LODF is engineering-actionable in the sense that its components can be specified on existing infrastructure. Its empirical status is that of a proposed framework informed by field evidence and learning theory. The reference stack and prototype specification translate principles into components, while the applied case studies illustrate hypotheses for other domains.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r>
      <w:r>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LODF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(LODF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final thesis should identify the de-identified Stage-2 and Stage-3 datasets, a data dictionary, all derived-variable code, the fixed game-state specification, numerical integration parameters, software version, analysis scripts and the exact questionnaire versions. Where data cannot be shared, the access procedure and restrictions should be stated. File names alone are not sufficient unless the files are deposited with the thesis or in a governed repository accessible to examiners. One material data-loss event is disclosed: the Stage-3 participant-level records were lost to a technical error after the aggregate results were computed and reported. The archived logbook preserves the published aggregates together with a reconciliation harness for any records that can be re-transcribed from surviving primary sources (Appendix G, item G.3); Chapter 6 rests on the published aggregate record unless and until the participant-level records are recovered.</w:t>
      </w:r>
    </w:p>
    <w:p w14:paraId="440D872A" w14:textId="77777777" w:rsidR="0062437E" w:rsidRDefault="00000000">
      <w:pPr>
        <w:pStyle w:val="AuthorAction"/>
        <w:jc w:val="both"/>
      </w:pPr>
      <w:r>
        <w:t xml:space="preserve">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w:t>
      </w:r>
      <w:r>
        <w:rPr>
          <w:b/>
          <w:highlight w:val="yellow"/>
        </w:rPr>
        <w:t>[AUTHOR INPUT REQUIRED: record the model name and vendor, the version or dated endpoint, the system and user prompts, the LangChain configuration, temperature and other generation settings, fallback rules and any manual overrides. Earlier drafts named different vendors in §5.3 and Appendix E; the final record must state the endpoint actually deployed]</w:t>
      </w:r>
      <w:r>
        <w:t xml:space="preserve">. Third, the appendices bind the verbatim language versions of all instruments, the translation procedure, the complete FIAS codebook with inter-coder reliability, the consent materials and the photographic record </w:t>
      </w:r>
      <w:r>
        <w:rPr>
          <w:b/>
          <w:highlight w:val="yellow"/>
        </w:rPr>
        <w:t>[AUTHOR INPUT REQUIRED: complete this documentation at the marked positions in Appendices A–D and G before binding]</w:t>
      </w:r>
      <w:r>
        <w:t>.</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w:t>
      </w:r>
    </w:p>
    <w:p w14:paraId="6657E3B0" w14:textId="77777777" w:rsidR="0062437E" w:rsidRDefault="00000000">
      <w:pPr>
        <w:jc w:val="both"/>
      </w:pPr>
      <w:r>
        <w:t>The programme was conducted as sequential action research. The conclusion distinguishes three levels of claim: observed results, theoretically informed inferences and proposed design responses. This distinction is central to the thesis's final warrant.</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w:t>
      </w:r>
    </w:p>
    <w:p w14:paraId="32A7755A" w14:textId="77777777" w:rsidR="0062437E" w:rsidRDefault="00000000">
      <w:pPr>
        <w:jc w:val="both"/>
      </w:pPr>
      <w:r>
        <w:t xml:space="preserve">Stage 3 examined a participant-facing decoupling package in a separate Hong Kong community cohort of 120 adults. The same broad pressure-panel and skiing-game </w:t>
      </w:r>
      <w:r>
        <w:lastRenderedPageBreak/>
        <w:t>structure was retained, while clinical recruitment language, pre-session procedure, labels and participant-facing outputs were changed. Observed non-return was 6.7% overall and 13.3%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 xml:space="preserve">FIAS is therefore advanced as a provisional construct describing failure-associated active non-return under identity-relevant conditions. The thesis's principal theoretical contribution is the identification of coupling and framing as a plausible locus of </w:t>
      </w:r>
      <w:r>
        <w:lastRenderedPageBreak/>
        <w:t>engagement risk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preserve the viability of gamified coordination and balance activities for older users. The findings do not imply that game design theory fails in clinical settings. Rather, they indicate that the participant-facing relationship between gameplay, assessment language and clinical interpretation deserves explicit design attention.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86.7% and stated regular-use intention was 51.1%. The 35.6-percentage-point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 xml:space="preserve">Adaptive learning is proposed as one design response because it can present performance as a trajectory, specify the next achievable step and calibrate challenge, feedback and </w:t>
      </w:r>
      <w:r>
        <w:lastRenderedPageBreak/>
        <w:t>pacing. LODF formalises three components: identity disentanglement, trajectory installation and adaptive calibration. The framework is not yet empirically validated as a package, and the Stage-3 result should not be treated as a test of adaptive learning.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LODF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t xml:space="preserve">The thesis offers four theoretical contributions. First, it identifies failure-associated non-return as a post-contact problem insufficiently represented in standard acceptance models. Second, it introduces FIAS as a provisional, non-diagnostic construct that distinguishes active non-return from administrative dropout. Third, it integrates self-efficacy and behavioural-economics literatures into a candidate frame-sensitive mechanism with </w:t>
      </w:r>
      <w:r>
        <w:lastRenderedPageBreak/>
        <w:t>explicit measurement requirements. Fourth, it formulates endowment-protective and learning-trajectory appraisals as competing regimes and translates that formulation into a falsifiable engineering framework. The thesis does not claim empirical verification of mental accounting, irreversible account closure or mutual exclusion.</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a deployable design specification. LODF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r>
      <w:r>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contribution is methodological as well as technical: it demonstrates how an AI-assisted development workflow can translate a behavioural and safety specification into candidate state logic, synthetic tests and auditable runtime rules.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r>
      <w:r>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LODF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rPr>
          <w:noProof/>
        </w:rPr>
        <w:drawing>
          <wp:inline distT="0" distB="0" distL="0" distR="0" wp14:anchorId="1BFD3204" wp14:editId="5B74963F">
            <wp:extent cx="5120640" cy="3136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2.png"/>
                    <pic:cNvPicPr/>
                  </pic:nvPicPr>
                  <pic:blipFill>
                    <a:blip r:embed="rId21"/>
                    <a:stretch>
                      <a:fillRect/>
                    </a:stretch>
                  </pic:blipFill>
                  <pic:spPr>
                    <a:xfrm>
                      <a:off x="0" y="0"/>
                      <a:ext cx="5120640" cy="3136050"/>
                    </a:xfrm>
                    <a:prstGeom prst="rect">
                      <a:avLst/>
                    </a:prstGeom>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LODF,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LODF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r>
      <w:r>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At the individual level, an adverse first experience may be interpreted in ways that influence return. At the cohort level, first failure was associated with observed dropout in Stage 2, while post-failure return was substantially higher in a separate Stage-3 decoupled cohort. At the design level, these findings motivate participant-facing decoupling, trajectory-oriented feedback and adaptive calibration. At the system level, they motivate a future comparison between telemetry-conditioned and person-conditioned adaptation. The evidence is strongest at the behavioural level and progressively more provisional as it moves toward mechanism and future architecture.</w:t>
      </w:r>
    </w:p>
    <w:p w14:paraId="3CB31C06" w14:textId="77777777" w:rsidR="0062437E" w:rsidRDefault="00000000">
      <w:pPr>
        <w:jc w:val="both"/>
      </w:pPr>
      <w:r>
        <w:t>The contribution is therefore a calibrated chain rather than one mechanism demonstrated at four scales. The survey identified a problem signature; Stage 2 characterised failure-associated non-return and the divergence between score change and return; Stage 3 provided convergent quasi-experimental evidence for a frame-sensitive account; LODF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r>
      <w:r>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Where exact item wording, raw participant data, or photographic records are to be added by the author at the final binding stage, the placeholder is marked clearly.</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36E0699C" w14:textId="77777777" w:rsidR="0062437E" w:rsidRDefault="00000000">
      <w:pPr>
        <w:pStyle w:val="AuthorAction"/>
        <w:jc w:val="both"/>
      </w:pPr>
      <w:r>
        <w:rPr>
          <w:b/>
          <w:highlight w:val="yellow"/>
        </w:rPr>
        <w:t>[AUTHOR INPUT REQUIRED: insert the verbatim Mandarin wording of the six survey items, the bilingual back-translation record, and the inter-rater agreement statistics for the staff administrators.]</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pStyle w:val="AuthorAction"/>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w:t>
      </w:r>
    </w:p>
    <w:p w14:paraId="5C5F9C04" w14:textId="77777777" w:rsidR="0062437E" w:rsidRDefault="00000000">
      <w:pPr>
        <w:pStyle w:val="AuthorAction"/>
        <w:jc w:val="both"/>
      </w:pPr>
      <w:r>
        <w:rPr>
          <w:b/>
          <w:highlight w:val="yellow"/>
        </w:rPr>
        <w:t>[AUTHOR INPUT REQUIRED: insert the full thirteen-attribute coding rules table (including the item-to-composite mapping onto the 0–10 range), the inter-coder reliability statistics (Cohen's κ across the two trained coders), and the four worked-example transcripts that calibrate F1 through F4.]</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36A0B4C9" w14:textId="77777777" w:rsidR="0062437E" w:rsidRDefault="00000000">
      <w:pPr>
        <w:pStyle w:val="AuthorAction"/>
        <w:jc w:val="both"/>
      </w:pPr>
      <w:r>
        <w:rPr>
          <w:b/>
          <w:highlight w:val="yellow"/>
        </w:rPr>
        <w:t>[AUTHOR INPUT REQUIRED: insert the verbatim bilingual question wording, the staff-administered consent script, and one sample anonymised transcript for an F4 participant.]</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3A227A4E" w14:textId="77777777" w:rsidR="0062437E" w:rsidRDefault="00000000">
      <w:pPr>
        <w:pStyle w:val="AuthorAction"/>
        <w:jc w:val="both"/>
      </w:pPr>
      <w:r>
        <w:rPr>
          <w:b/>
          <w:highlight w:val="yellow"/>
        </w:rPr>
        <w:t>[AUTHOR INPUT REQUIRED: insert the verbatim Cantonese, Mandarin and English wording of items D1 and D2, and the scale-level reliability (α) computed at the close of Stage 3.]</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r>
        <w:lastRenderedPageBreak/>
        <w:t>Appendix E · Five-Layer Architecture and LODF Reference Stack</w:t>
      </w:r>
      <w:bookmarkEnd w:id="176"/>
    </w:p>
    <w:p w14:paraId="2F195BE2" w14:textId="77777777" w:rsidR="0062437E" w:rsidRDefault="00000000">
      <w:pPr>
        <w:jc w:val="both"/>
      </w:pPr>
      <w:r>
        <w:t>The Stage-2 deployment ran on a five-layer architecture that has been the operational platform for both the in-frame skiing game and the decoupled Stage-3 condition. The full LODF reference stack adds three further layers (L5 User-Facing Trajectory, L6 Staff Coaching Protocol, L7 LODF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r>
        <w:t>E.2 · Layers L5–L7 (LODF Reference Stack)</w:t>
      </w:r>
      <w:bookmarkEnd w:id="178"/>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LODF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35.6-percentage-point difference in the 65-80 band between observed session retention (86.7%) and stated regular-use intention (51.1%). It is descriptive and does not identify a single cause.</w:t>
            </w:r>
          </w:p>
        </w:tc>
      </w:tr>
      <w:tr w:rsidR="0062437E" w14:paraId="291D7747" w14:textId="77777777" w:rsidTr="00FD5D21">
        <w:trPr>
          <w:jc w:val="center"/>
        </w:trPr>
        <w:tc>
          <w:tcPr>
            <w:tcW w:w="2552" w:type="dxa"/>
          </w:tcPr>
          <w:p w14:paraId="17D9BA8A" w14:textId="77777777" w:rsidR="0062437E" w:rsidRDefault="00000000">
            <w:r>
              <w:rPr>
                <w:sz w:val="20"/>
              </w:rPr>
              <w:t>LODF</w:t>
            </w:r>
          </w:p>
        </w:tc>
        <w:tc>
          <w:tcPr>
            <w:tcW w:w="5952" w:type="dxa"/>
          </w:tcPr>
          <w:p w14:paraId="16D5F4CF" w14:textId="77777777" w:rsidR="00EE7E37" w:rsidRDefault="00000000">
            <w:r>
              <w:t>Learning-Oriented Design Framework - a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pStyle w:val="AuthorAction"/>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t xml:space="preserve">G.1  Cleaned Stage-1 survey response file (CSV). </w:t>
      </w:r>
      <w:r>
        <w:rPr>
          <w:b/>
          <w:highlight w:val="yellow"/>
        </w:rPr>
        <w:t>[AUTHOR INPUT REQUIRED: attach file]</w:t>
      </w:r>
    </w:p>
    <w:p>
      <w: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w:t>
      </w:r>
      <w:r>
        <w:rPr>
          <w:b/>
          <w:highlight w:val="yellow"/>
        </w:rPr>
        <w:t>[AUTHOR INPUT REQUIRED: session-level telemetry with timestamps and AI-call logs was not part of this archive — attach it if it exists, or state in §8.9 that it was not retained]</w:t>
      </w:r>
    </w:p>
    <w:p>
      <w:r>
        <w:t xml:space="preserve">G.3  Stage-3 data logbook (Stage3_Data_Logbook_120cases_with_Reconciliation.xlsx): codebook with provenance note, participant/telemetry/questionnaire/outcome sheets for IDs 3001–3120, the published aggregate results (Published_Summary sheet, transcribed from Paper 3) and a live Reconciliation sheet. The original participant-level records were lost to a technical error; row-level entries may be added only by transcription from surviving primary records. </w:t>
      </w:r>
      <w:r>
        <w:rPr>
          <w:b/>
          <w:highlight w:val="yellow"/>
        </w:rPr>
        <w:t>[AUTHOR INPUT REQUIRED: transcribe surviving primary records, or confirm the data-loss statement in §8.9 as final]</w:t>
      </w:r>
    </w:p>
    <w:p>
      <w:r>
        <w:t xml:space="preserve">G.4  Photographs of the Guangzhou Stage-2 deployment (consented). </w:t>
      </w:r>
      <w:r>
        <w:rPr>
          <w:b/>
          <w:highlight w:val="green"/>
        </w:rPr>
        <w:t>[INSERT PHOTOGRAPHS HERE — Stage-2 deployment: the FRA station in situ and participants playing the skiing game; written consent on record, faces obscured where required]</w:t>
      </w:r>
    </w:p>
    <w:p>
      <w:r>
        <w:t xml:space="preserve">G.5  Photographs of the Hong Kong Stage-3 deployment (consented). </w:t>
      </w:r>
      <w:r>
        <w:rPr>
          <w:b/>
          <w:highlight w:val="green"/>
        </w:rPr>
        <w:t>[INSERT PHOTOGRAPHS HERE — Stage-3 community deployment]</w:t>
      </w:r>
    </w:p>
    <w:p>
      <w:r>
        <w:t xml:space="preserve">G.6  Screenshots of the skiing game at each difficulty level (1–5). </w:t>
      </w:r>
      <w:r>
        <w:rPr>
          <w:b/>
          <w:highlight w:val="green"/>
        </w:rPr>
        <w:t>[INSERT SCREENSHOTS HERE — one per difficulty level, taken from the deployed Stage-2 build]</w:t>
      </w:r>
    </w:p>
    <w:p>
      <w:r>
        <w:t xml:space="preserve">G.7  AI prompt-template archive used in Layer 2 (system and user prompts, versions and settings). </w:t>
      </w:r>
      <w:r>
        <w:rPr>
          <w:b/>
          <w:highlight w:val="yellow"/>
        </w:rPr>
        <w:t>[AUTHOR INPUT REQUIRED: attach archive]</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published aggregates. It is archived solely as a pipeline-verification artifact, in the same spirit as the synthetic centre-of-pressure traces of §5.3.9, and contains no data from any human participant.</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Academic Revision Draft</dc:title>
  <dc:subject>EngD thesis revised following academic methodological review</dc:subject>
  <dc:creator>python-docx</dc:creator>
  <cp:keywords/>
  <dc:description>Academic revision draft. Unresolved data-dependent and ethics-dependent items are marked AUTHOR ACTION REQUIRED and must be completed by the author before final binding.</dc:description>
  <cp:lastModifiedBy>TAM, Sidney [Student]</cp:lastModifiedBy>
  <cp:revision>5</cp:revision>
  <cp:lastPrinted>2026-07-11T05:43:00Z</cp:lastPrinted>
  <dcterms:created xsi:type="dcterms:W3CDTF">2026-07-03T09:50:00Z</dcterms:created>
  <dcterms:modified xsi:type="dcterms:W3CDTF">2026-07-11T10:34:00Z</dcterms:modified>
  <cp:category/>
</cp:coreProperties>
</file>