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Viva Preparation Dossier — Tam EngD Thesis (V33)</w:t>
      </w:r>
    </w:p>
    <w:p>
      <w:r>
        <w:rPr>
          <w:i/>
        </w:rPr>
        <w:t>Twenty questions examiners are most likely to ask, each with the core answer and where the thesis carries it. The rule throughout: answer from the thesis, concede what it concedes, and point to the confirmatory study for what it cannot yet claim. Prepared August 2026.</w:t>
      </w:r>
    </w:p>
    <w:p>
      <w:pPr>
        <w:pStyle w:val="Heading2"/>
      </w:pPr>
      <w:r>
        <w:t>1. Thirty participants is a very small sample. How can you conclude anything?</w:t>
      </w:r>
    </w:p>
    <w:p>
      <w:r>
        <w:t>Concede the arithmetic, defend the design. Stage 2 is an exploratory, single-site action-research deployment: its job was to characterise a behaviour closely, not to estimate population parameters. Every proportion carries a Wilson 95% CI, effect sizes carry exact noncentral-t CIs, and the claims are worded as associations within the cohort and window studied. The decisive test is specified, not promised vaguely: the pre-registered three-arm within-cohort study. Note also what smallness bought: an embedded researcher watched every participant's journey, which is how the improvement-yet-abandonment paradox was seen at all.</w:t>
      </w:r>
    </w:p>
    <w:p>
      <w:pPr>
        <w:spacing w:after="200"/>
      </w:pPr>
      <w:r>
        <w:rPr>
          <w:i/>
        </w:rPr>
        <w:t>Where it lives: §3.5, §5.5, §5.7, §8.5.1, §8.8</w:t>
      </w:r>
    </w:p>
    <w:p>
      <w:pPr>
        <w:pStyle w:val="Heading2"/>
      </w:pPr>
      <w:r>
        <w:t>2. Stage 3 changed platform, setting, input device and supervision as well as framing. Isn't your comparison confounded?</w:t>
      </w:r>
    </w:p>
    <w:p>
      <w:r>
        <w:t>Yes — and the thesis says so before the examiner can. Stage 3 evaluates a participant-facing redesign package in a separate cohort; it does not isolate framing. The design's strength lies elsewhere: H0-age builds the comparison into the cohort itself (0 of 38 younger vs 16 of 41 older initial dropouts, p &lt; 0.0001, while non-return converges low in every band) — a within-study pattern no between-cohort confound explains away. Eight alternative explanations, including the input-modality/embodiment alternative (§8.5.8), are examined and several held open.</w:t>
      </w:r>
    </w:p>
    <w:p>
      <w:pPr>
        <w:spacing w:after="200"/>
      </w:pPr>
      <w:r>
        <w:rPr>
          <w:i/>
        </w:rPr>
        <w:t>Where it lives: §6.3, §6.9, §8.5 (esp. 8.5.8)</w:t>
      </w:r>
    </w:p>
    <w:p>
      <w:pPr>
        <w:pStyle w:val="Heading2"/>
      </w:pPr>
      <w:r>
        <w:t>3. Why should we accept the Stage-2 consent arrangement?</w:t>
      </w:r>
    </w:p>
    <w:p>
      <w:r>
        <w:t>Answer with the HSESC characterisation once obtained; until then: the deployment used incomplete disclosure with a scientific rationale — announcing a fall-risk study would have re-imposed the clinical frame whose effect was being measured. The facility's management, operators and nurses knew and agreed (gatekeeper consent, recorded); risk was minimal; data were de-identified; written consent was obtained from the sustained participants at the close. The thesis reports the procedure exactly and the ethics committee's characterisation governs. Do not improvise beyond this.</w:t>
      </w:r>
    </w:p>
    <w:p>
      <w:pPr>
        <w:spacing w:after="200"/>
      </w:pPr>
      <w:r>
        <w:rPr>
          <w:i/>
        </w:rPr>
        <w:t>Where it lives: §3.4 (final wording pending HSESC)</w:t>
      </w:r>
    </w:p>
    <w:p>
      <w:pPr>
        <w:pStyle w:val="Heading2"/>
      </w:pPr>
      <w:r>
        <w:t>4. And the Stage-3 participants — no written consent at all?</w:t>
      </w:r>
    </w:p>
    <w:p>
      <w:r>
        <w:t>Informed, implied consent, stated plainly: distribution e-mails explained the purpose of the game and questionnaire and the use of replies; participation was voluntary and unpaid; returning the results file constituted consent; no written instrument was used and the thesis acknowledges that as a limitation of the remote design. Minimal-risk adult volunteers answering questions about a game.</w:t>
      </w:r>
    </w:p>
    <w:p>
      <w:pPr>
        <w:spacing w:after="200"/>
      </w:pPr>
      <w:r>
        <w:rPr>
          <w:i/>
        </w:rPr>
        <w:t>Where it lives: §3.4</w:t>
      </w:r>
    </w:p>
    <w:p>
      <w:pPr>
        <w:pStyle w:val="Heading2"/>
      </w:pPr>
      <w:r>
        <w:t>5. Your FIAS composite scores dropouts high because dropping out is in the score. Isn't that circular?</w:t>
      </w:r>
    </w:p>
    <w:p>
      <w:r>
        <w:t>Entirely — and the thesis says it first: the clustering is 'partly true by construction', the composite 'carries no evidential weight' and serves only as a descriptive case-identification device. Every evidential claim rests on directly observed behaviour: single-session exit, non-return, and the divergence between improving scores and leaving (five of eight single-session exits improved; none returned). The non-circular codebook with independent coding is a specified deliverable of the confirmatory study.</w:t>
      </w:r>
    </w:p>
    <w:p>
      <w:pPr>
        <w:spacing w:after="200"/>
      </w:pPr>
      <w:r>
        <w:rPr>
          <w:i/>
        </w:rPr>
        <w:t>Where it lives: §5.6, Appendix B</w:t>
      </w:r>
    </w:p>
    <w:p>
      <w:pPr>
        <w:pStyle w:val="Heading2"/>
      </w:pPr>
      <w:r>
        <w:t>6. Isn't FIAS just technology anxiety, or fear of falling, under a new name?</w:t>
      </w:r>
    </w:p>
    <w:p>
      <w:r>
        <w:t>The construct is defined by what the established ones do not cover: STAM's gerontechnology anxiety and FES-I's fear of falling are pre-existing dispositions that predict low initial uptake; FIAS is a post-contact response — rapid, permanent non-return after an adverse first experience, sharpest where the recorded performance was improving. Anxiety predicts not starting; FIAS describes never coming back, even from success. The improvement-yet-abandonment paradox is the observation none of the prior constructs predicts.</w:t>
      </w:r>
    </w:p>
    <w:p>
      <w:pPr>
        <w:spacing w:after="200"/>
      </w:pPr>
      <w:r>
        <w:rPr>
          <w:i/>
        </w:rPr>
        <w:t>Where it lives: §2.3-2.4, §5.6, Table 2.1</w:t>
      </w:r>
    </w:p>
    <w:p>
      <w:pPr>
        <w:pStyle w:val="Heading2"/>
      </w:pPr>
      <w:r>
        <w:t>7. Why call it a 'syndrome'?</w:t>
      </w:r>
    </w:p>
    <w:p>
      <w:r>
        <w:t>A conceptual, non-diagnostic term, and the thesis says so in its scope statement: a recurring, recognisable pattern of co-occurring features — not a clinical entity, not in any nosology, and not claimed to explain all abandonment.</w:t>
      </w:r>
    </w:p>
    <w:p>
      <w:pPr>
        <w:spacing w:after="200"/>
      </w:pPr>
      <w:r>
        <w:rPr>
          <w:i/>
        </w:rPr>
        <w:t>Where it lives: §1 scope; §1.12</w:t>
      </w:r>
    </w:p>
    <w:p>
      <w:pPr>
        <w:pStyle w:val="Heading2"/>
      </w:pPr>
      <w:r>
        <w:t>8. Was H0 really stated in advance?</w:t>
      </w:r>
    </w:p>
    <w:p>
      <w:r>
        <w:t>It is a reconstructed prospective hypothesis, and the thesis documents this rather than hiding it: the expectation genuinely governed the Stage-2 design ex ante (the game was engineered to satisfy the acceptance stack), but its formal statement was written after the fact. H1, H2 and H4 were held as working hypotheses before Stage 2; H5 is closest to stated-in-advance; adaptive learning is an action-research discovery. No preregistration existed and none is claimed.</w:t>
      </w:r>
    </w:p>
    <w:p>
      <w:pPr>
        <w:spacing w:after="200"/>
      </w:pPr>
      <w:r>
        <w:rPr>
          <w:i/>
        </w:rPr>
        <w:t>Where it lives: §3.3, Table 3.1</w:t>
      </w:r>
    </w:p>
    <w:p>
      <w:pPr>
        <w:pStyle w:val="Heading2"/>
      </w:pPr>
      <w:r>
        <w:t>9. What happened to H3?</w:t>
      </w:r>
    </w:p>
    <w:p>
      <w:r>
        <w:t>Retired, with the reason stated: social-comparison framing was never isolated as a test. The leaderboard observation stands as field observation only. The Paper-2 H-numbering (its FIDS-FIAS prediction set) is a separate, paper-internal scheme — do not conflate them if pressed.</w:t>
      </w:r>
    </w:p>
    <w:p>
      <w:pPr>
        <w:spacing w:after="200"/>
      </w:pPr>
      <w:r>
        <w:rPr>
          <w:i/>
        </w:rPr>
        <w:t>Where it lives: §2.6, §3.3</w:t>
      </w:r>
    </w:p>
    <w:p>
      <w:pPr>
        <w:pStyle w:val="Heading2"/>
      </w:pPr>
      <w:r>
        <w:t>10. I found statistics in earlier drafts that are gone. What happened?</w:t>
      </w:r>
    </w:p>
    <w:p>
      <w:r>
        <w:t>They were withdrawn because they did not reproduce from the archive, and each withdrawal is disclosed in place: the Cox HR, the OR 31.5 motivational classification (Table 5.3), the pooled d = 0.78 and zero-imputation d = 0.57. Every statistic now in the thesis recomputes from the archived dataset. Offer the reproduction scripts.</w:t>
      </w:r>
    </w:p>
    <w:p>
      <w:pPr>
        <w:spacing w:after="200"/>
      </w:pPr>
      <w:r>
        <w:rPr>
          <w:i/>
        </w:rPr>
        <w:t>Where it lives: §5.5 withdrawal notes, §8.9, Appendix G</w:t>
      </w:r>
    </w:p>
    <w:p>
      <w:pPr>
        <w:pStyle w:val="Heading2"/>
      </w:pPr>
      <w:r>
        <w:t>11. How much of this thesis did AI write or decide?</w:t>
      </w:r>
    </w:p>
    <w:p>
      <w:r>
        <w:t>AI tooling was the engineering assistant (game code generation, difficulty adaptation) and is documented for reproducibility; the five-layer architecture, the dual-purpose mechanic, the behavioural constructs and every design decision are the author's. The thesis deliberately demoted AI from contribution to enabling technology, and the deployed endpoint is recorded in Appendix G. The programme's position on AI-era gerontechnology (§8.6) is a design argument, not an AI-capability claim.</w:t>
      </w:r>
    </w:p>
    <w:p>
      <w:pPr>
        <w:spacing w:after="200"/>
      </w:pPr>
      <w:r>
        <w:rPr>
          <w:i/>
        </w:rPr>
        <w:t>Where it lives: §5.3.9, §8.6, Appendix G item G.7</w:t>
      </w:r>
    </w:p>
    <w:p>
      <w:pPr>
        <w:pStyle w:val="Heading2"/>
      </w:pPr>
      <w:r>
        <w:t>12. Your game looks like Tux Racer.</w:t>
      </w:r>
    </w:p>
    <w:p>
      <w:r>
        <w:t>Correct, and disclosed: the earliest prototype validated the platform-to-game coupling on the open-source Tux Racer before any custom code was written (archived videos, August 2024). The deployed Stage-2 build is a separate 2D Pygame implementation; no code was carried over. The lineage is stated in §5.3.9 precisely so this question has a one-sentence answer.</w:t>
      </w:r>
    </w:p>
    <w:p>
      <w:pPr>
        <w:spacing w:after="200"/>
      </w:pPr>
      <w:r>
        <w:rPr>
          <w:i/>
        </w:rPr>
        <w:t>Where it lives: §5.3.9, Appendix G item G.8</w:t>
      </w:r>
    </w:p>
    <w:p>
      <w:pPr>
        <w:pStyle w:val="Heading2"/>
      </w:pPr>
      <w:r>
        <w:t>13. Which hardware was actually used — InBody or HUR?</w:t>
      </w:r>
    </w:p>
    <w:p>
      <w:r>
        <w:t>InBody-branded instruments as deployed, with the HUR SmartBalance modular platform as their design origin (Asian market rights; game-mode modification) — stated as the author's industry account with the vendor brochure archived. Figures 4.1B and 5.1A show the same physical platform in facility and demonstration use.</w:t>
      </w:r>
    </w:p>
    <w:p>
      <w:pPr>
        <w:spacing w:after="200"/>
      </w:pPr>
      <w:r>
        <w:rPr>
          <w:i/>
        </w:rPr>
        <w:t>Where it lives: §4.1A, Figures 4.1B/5.1A</w:t>
      </w:r>
    </w:p>
    <w:p>
      <w:pPr>
        <w:pStyle w:val="Heading2"/>
      </w:pPr>
      <w:r>
        <w:t>14. Adaptive difficulty already exists in games research. What is new here?</w:t>
      </w:r>
    </w:p>
    <w:p>
      <w:r>
        <w:t>Dynamic difficulty adjustment optimises performance and flow; the adaptive-learning framework optimises bearability of measurement: calibrated challenge is one of three principles alongside identity disentanglement and trajectory framing, derived from a failure account (FIAS) that DDA research does not carry. The novelty claim is the behavioural layer and its coupling to clinical measurement, not difficulty adjustment per se.</w:t>
      </w:r>
    </w:p>
    <w:p>
      <w:pPr>
        <w:spacing w:after="200"/>
      </w:pPr>
      <w:r>
        <w:rPr>
          <w:i/>
        </w:rPr>
        <w:t>Where it lives: §2.6.2A-B, §7.4-7.5</w:t>
      </w:r>
    </w:p>
    <w:p>
      <w:pPr>
        <w:pStyle w:val="Heading2"/>
      </w:pPr>
      <w:r>
        <w:t>15. Both cohorts are Chinese. Does anything generalise?</w:t>
      </w:r>
    </w:p>
    <w:p>
      <w:r>
        <w:t>The thesis claims nothing cross-cultural: cohorts, windows and settings bound every empirical claim, the cultural loading of falls in Chinese settings is discussed, and cross-cultural replication is the named next journey. The mechanisms are proposed as candidates whose generality is exactly what the confirmatory programme tests.</w:t>
      </w:r>
    </w:p>
    <w:p>
      <w:pPr>
        <w:spacing w:after="200"/>
      </w:pPr>
      <w:r>
        <w:rPr>
          <w:i/>
        </w:rPr>
        <w:t>Where it lives: §1 scope, §8.5, §8.7-8.8</w:t>
      </w:r>
    </w:p>
    <w:p>
      <w:pPr>
        <w:pStyle w:val="Heading2"/>
      </w:pPr>
      <w:r>
        <w:t>16. Where is the Stage-3 participant-level analysis?</w:t>
      </w:r>
    </w:p>
    <w:p>
      <w:r>
        <w:t>The chapter reports the preliminary aggregate record compiled from the participants' returned e-mails (game-log CSV plus questionnaire per person); the participant-level compilation into the logbook is in progress and the reconciliation sheet recomputes every reported indicator once it is complete. [If compilation is finished by the viva, answer from the completed logbook instead.]</w:t>
      </w:r>
    </w:p>
    <w:p>
      <w:pPr>
        <w:spacing w:after="200"/>
      </w:pPr>
      <w:r>
        <w:rPr>
          <w:i/>
        </w:rPr>
        <w:t>Where it lives: §6.4, Appendix G item G.3</w:t>
      </w:r>
    </w:p>
    <w:p>
      <w:pPr>
        <w:pStyle w:val="Heading2"/>
      </w:pPr>
      <w:r>
        <w:t>17. What do the expert consultations actually add?</w:t>
      </w:r>
    </w:p>
    <w:p>
      <w:r>
        <w:t>Interpretation and practice validation, never evidence: three consultations (physiotherapy practice, March 2026; stroke neurology/rehabilitation, June 2026; sociology of ageing, July 2026) under a common semi-structured guide, with signed consent and named attribution. They supplied the group-dynamics reading of the commitment gap and reviewed the confirmatory design. The thesis never uses them to compensate for sample size.</w:t>
      </w:r>
    </w:p>
    <w:p>
      <w:pPr>
        <w:spacing w:after="200"/>
      </w:pPr>
      <w:r>
        <w:rPr>
          <w:i/>
        </w:rPr>
        <w:t>Where it lives: §3.2, §6.8A, Appendix H</w:t>
      </w:r>
    </w:p>
    <w:p>
      <w:pPr>
        <w:pStyle w:val="Heading2"/>
      </w:pPr>
      <w:r>
        <w:t>18. Is the commitment gap not just fatigue or irrelevance?</w:t>
      </w:r>
    </w:p>
    <w:p>
      <w:r>
        <w:t>Possibly — and the thesis lists those rivals explicitly (fatigue, access, scheduling, relevance, motor difficulty, limited enjoyment) and keeps the missing-trajectory reading as one theoretically grounded candidate among them, to be separated by the follow-up study's direct measures.</w:t>
      </w:r>
    </w:p>
    <w:p>
      <w:pPr>
        <w:spacing w:after="200"/>
      </w:pPr>
      <w:r>
        <w:rPr>
          <w:i/>
        </w:rPr>
        <w:t>Where it lives: §6.8, §8.5</w:t>
      </w:r>
    </w:p>
    <w:p>
      <w:pPr>
        <w:pStyle w:val="Heading2"/>
      </w:pPr>
      <w:r>
        <w:t>19. What exactly is the industrial contribution?</w:t>
      </w:r>
    </w:p>
    <w:p>
      <w:r>
        <w:t>Four registers, kept distinct (Table 8.0). Industrially: the dual-purpose mechanic runs on installed FRA hardware; the engagement redesign needs no new capital equipment; the design-space argument (Figure 8.1) shows the commercially unoccupied middle — technologies that measure and remain engaging — which is where the sponsor's installed base sits. Deployment risk is honestly costed: staff training, not hardware, is the constraint.</w:t>
      </w:r>
    </w:p>
    <w:p>
      <w:pPr>
        <w:spacing w:after="200"/>
      </w:pPr>
      <w:r>
        <w:rPr>
          <w:i/>
        </w:rPr>
        <w:t>Where it lives: Chapter 8 opening, Table 8.0, §8.6, Figure 8.1</w:t>
      </w:r>
    </w:p>
    <w:p>
      <w:pPr>
        <w:pStyle w:val="Heading2"/>
      </w:pPr>
      <w:r>
        <w:t>20. If you could rerun the programme, what would you change?</w:t>
      </w:r>
    </w:p>
    <w:p>
      <w:r>
        <w:t>Have the answer be the confirmatory study: prospective ethics characterisation from day one, preregistered hypotheses, randomisation within one cohort, mechanism instruments (FES-I, self-efficacy, WTA/WTP) administered at the right moments, timestamped logging designed in, and a fixed non-circular codebook. That answer shows the thesis already knows its own weaknesses — §8.8 is that list.</w:t>
      </w:r>
    </w:p>
    <w:p>
      <w:pPr>
        <w:spacing w:after="200"/>
      </w:pPr>
      <w:r>
        <w:rPr>
          <w:i/>
        </w:rPr>
        <w:t>Where it lives: §8.8</w:t>
      </w:r>
    </w:p>
    <w:p>
      <w:pPr>
        <w:pStyle w:val="Heading2"/>
      </w:pPr>
      <w:r>
        <w:t>Final reminders</w:t>
      </w:r>
    </w:p>
    <w:p>
      <w:pPr>
        <w:pStyle w:val="ListBullet"/>
      </w:pPr>
      <w:r>
        <w:t>Never claim informed consent for Stage 2 in the pre-HSESC wording; answer with the characterised design.</w:t>
      </w:r>
    </w:p>
    <w:p>
      <w:pPr>
        <w:pStyle w:val="ListBullet"/>
      </w:pPr>
      <w:r>
        <w:t>Never present expert opinion, the composite, or the register as evidence; behaviour is the evidence.</w:t>
      </w:r>
    </w:p>
    <w:p>
      <w:pPr>
        <w:pStyle w:val="ListBullet"/>
      </w:pPr>
      <w:r>
        <w:t>If shown an old draft's claim, the answer is always: withdrawn/corrected, disclosed at [location], reproduces from the archive.</w:t>
      </w:r>
    </w:p>
    <w:p>
      <w:pPr>
        <w:pStyle w:val="ListBullet"/>
      </w:pPr>
      <w:r>
        <w:t>The five-step argument of Chapter 9 is the two-minute summary if asked to defend the whole thesis: honest H0, its rejection, the behavioural account, the decoupling evidence, the engineering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 Preparation Dossier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