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General Consent Statement and Interview Guidelines</w:t>
      </w:r>
    </w:p>
    <w:p>
      <w:r>
        <w:rPr>
          <w:i/>
        </w:rPr>
        <w:t>EngD research programme — Leveraging Gamification as a Proactive Approach for Continuous Improvement and Innovation Enhancement. Researcher: Sidney K. T. Tam; Lead Supervisor: Prof. Chi Fai Cheung, The Hong Kong Polytechnic University. Standing record document: applies to all research interviews and expert consultations conducted within the programme.</w:t>
      </w:r>
    </w:p>
    <w:p>
      <w:pPr>
        <w:pStyle w:val="Heading2"/>
      </w:pPr>
      <w:r>
        <w:t>Part A — General Consent Statement</w:t>
      </w:r>
    </w:p>
    <w:p>
      <w:pPr>
        <w:spacing w:after="120"/>
      </w:pPr>
      <w:r>
        <w:t>Voluntary participation. Participation in any interview or consultation within this programme is entirely voluntary. The interviewee may decline to answer any question, may pause or end the interview at any time, and may withdraw without giving a reason and without any negative consequence to themselves or their organisation.</w:t>
      </w:r>
    </w:p>
    <w:p>
      <w:pPr>
        <w:spacing w:after="120"/>
      </w:pPr>
      <w:r>
        <w:t>Informed purpose. Before the interview, the interviewee receives the one-page research introduction describing the researcher, the research question, and what the consultation will cover, together with the consent form. Questions about the research are answered before consent is requested.</w:t>
      </w:r>
    </w:p>
    <w:p>
      <w:pPr>
        <w:spacing w:after="120"/>
      </w:pPr>
      <w:r>
        <w:t>Record and recording. The primary record of every interview is the researcher's structured written notes. Audio or video recording takes place only with the interviewee's separate, explicit consent, recorded on the consent form; declining recording does not affect participation.</w:t>
      </w:r>
    </w:p>
    <w:p>
      <w:pPr>
        <w:spacing w:after="120"/>
      </w:pPr>
      <w:r>
        <w:t>Confidentiality and attribution. Interview data are pseudonymised or anonymised in notes, transcripts and publications by default. An interviewee is identified by name and professional affiliation only where they have selected that option on the consent form or confirmed it in writing. Attribution sentences quoted or paraphrased in the thesis are sent to the interviewee for approval before the thesis is bound.</w:t>
      </w:r>
    </w:p>
    <w:p>
      <w:pPr>
        <w:spacing w:after="120"/>
      </w:pPr>
      <w:r>
        <w:t>Data storage and retention. Electronic records are stored on password-protected, access-controlled systems; paper records are kept securely. Records are retained for up to ten years after completion of the research, consistent with university policy.</w:t>
      </w:r>
    </w:p>
    <w:p>
      <w:pPr>
        <w:spacing w:after="120"/>
      </w:pPr>
      <w:r>
        <w:t>Withdrawal of data. The interviewee may request withdrawal of their interview data up to fourteen days after receiving the interview summary or transcript. After anonymised data have been aggregated and analysed, withdrawal of the anonymised contribution may no longer be practicable, and this is explained at consent.</w:t>
      </w:r>
    </w:p>
    <w:p>
      <w:pPr>
        <w:spacing w:after="120"/>
      </w:pPr>
      <w:r>
        <w:t>Where consent is documented after the interview. Where a consultation took place before the written form was signed, the record states both dates plainly — the date of the interview and the date of the signed consent — and the signed form covers the use and attribution of the material retrospectively. No interview material is used in the thesis without a completed consent form.</w:t>
      </w:r>
    </w:p>
    <w:p>
      <w:pPr>
        <w:spacing w:after="120"/>
      </w:pPr>
      <w:r>
        <w:t>Contact. Researcher: Sidney K. T. Tam (sidney.tam@connect.polyu.hk). Concerns or complaints may be raised with the university research ethics office identified in the approved ethics documentation.</w:t>
      </w:r>
    </w:p>
    <w:p>
      <w:pPr>
        <w:pStyle w:val="Heading2"/>
      </w:pPr>
      <w:r>
        <w:t>Part B — Interview Guidelines (conduct and records)</w:t>
      </w:r>
    </w:p>
    <w:p>
      <w:pPr>
        <w:pStyle w:val="Heading3"/>
      </w:pPr>
      <w:r>
        <w:t>Before the interview</w:t>
      </w:r>
    </w:p>
    <w:p>
      <w:pPr>
        <w:pStyle w:val="ListBullet"/>
      </w:pPr>
      <w:r>
        <w:t>Send the research introduction and the consent form in advance; confirm format (telephone, video or in person), language, and the interviewee's attribution preference.</w:t>
      </w:r>
    </w:p>
    <w:p>
      <w:pPr>
        <w:pStyle w:val="ListBullet"/>
      </w:pPr>
      <w:r>
        <w:t>Prepare the semi-structured guide, tailoring discipline-specific wording (e.g., the standpoint named in Section F) to the interviewee's field. Do not alter the section structure, so that consultations remain comparable.</w:t>
      </w:r>
    </w:p>
    <w:p>
      <w:pPr>
        <w:pStyle w:val="Heading3"/>
      </w:pPr>
      <w:r>
        <w:t>During the interview</w:t>
      </w:r>
    </w:p>
    <w:p>
      <w:pPr>
        <w:pStyle w:val="ListBullet"/>
      </w:pPr>
      <w:r>
        <w:t>Open by restating, briefly: the purpose, voluntariness, the right to decline any question or stop at any time, and — if recording is proposed — the separate recording consent.</w:t>
      </w:r>
    </w:p>
    <w:p>
      <w:pPr>
        <w:pStyle w:val="ListBullet"/>
      </w:pPr>
      <w:r>
        <w:t>Follow the guide's section order (A Background; B Engagement problem; C Framing; D Commitment gap; E Social dimension; F Adaptive learning and design; G Closing). Read the context passages as written so every expert responds to the same stimulus.</w:t>
      </w:r>
    </w:p>
    <w:p>
      <w:pPr>
        <w:pStyle w:val="ListBullet"/>
      </w:pPr>
      <w:r>
        <w:t>Ask open questions before revealing study specifics that could shape the answer (e.g., ask whether setting changes the experience BEFORE disclosing that study play was individual).</w:t>
      </w:r>
    </w:p>
    <w:p>
      <w:pPr>
        <w:pStyle w:val="ListBullet"/>
      </w:pPr>
      <w:r>
        <w:t>Do not lead. Record disagreement as faithfully as agreement; an expert's dissent is part of the record.</w:t>
      </w:r>
    </w:p>
    <w:p>
      <w:pPr>
        <w:pStyle w:val="ListBullet"/>
      </w:pPr>
      <w:r>
        <w:t>Close by confirming attribution preference, the quote-approval contact, and whether the interviewee wishes to receive the findings.</w:t>
      </w:r>
    </w:p>
    <w:p>
      <w:pPr>
        <w:pStyle w:val="Heading3"/>
      </w:pPr>
      <w:r>
        <w:t>After the interview (the 48-hour rule)</w:t>
      </w:r>
    </w:p>
    <w:p>
      <w:pPr>
        <w:pStyle w:val="ListBullet"/>
      </w:pPr>
      <w:r>
        <w:t>Within 48 hours, write the structured record: name, exact title and institution as the expert states them, date, duration, format, language, and the notes by guide section.</w:t>
      </w:r>
    </w:p>
    <w:p>
      <w:pPr>
        <w:pStyle w:val="ListBullet"/>
      </w:pPr>
      <w:r>
        <w:t>File the signed consent form with the record; where consent is retrospective, note both dates.</w:t>
      </w:r>
    </w:p>
    <w:p>
      <w:pPr>
        <w:pStyle w:val="ListBullet"/>
      </w:pPr>
      <w:r>
        <w:t>Log the consultation in the action-research record (§3.5) and archive the record in Appendix G.</w:t>
      </w:r>
    </w:p>
    <w:p>
      <w:pPr>
        <w:pStyle w:val="ListBullet"/>
      </w:pPr>
      <w:r>
        <w:t>Send the attribution sentences to the interviewee for approval before the thesis is bound. Do not merge the interviewee's insights into the thesis text before the approval returns.</w:t>
      </w:r>
    </w:p>
    <w:p>
      <w:pPr>
        <w:pStyle w:val="Heading3"/>
      </w:pPr>
      <w:r>
        <w:t>Records standard</w:t>
      </w:r>
    </w:p>
    <w:p>
      <w:r>
        <w:t>A consultation is complete for thesis purposes only when the file holds: (1) the signed consent form with the identification-preference selection completed; (2) the dated structured notes; (3) the interview and consent dates (both, where they differ); and (4) the approved attribution sentences. Consultations are cited in the thesis as expert interpretation and practice validation; they are never presented as a substitute for participant data or sample size.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Consent Statement and Interview Guidelines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