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EFA50" w14:textId="77777777" w:rsidR="00C5419C" w:rsidRDefault="00874FEF">
      <w:pPr>
        <w:pStyle w:val="Heading1"/>
        <w:spacing w:after="80"/>
      </w:pPr>
      <w:r>
        <w:rPr>
          <w:b/>
          <w:bCs/>
          <w:sz w:val="28"/>
          <w:szCs w:val="28"/>
        </w:rPr>
        <w:t>Expert Consultation Interview Protocol</w:t>
      </w:r>
    </w:p>
    <w:p w14:paraId="4A15A335" w14:textId="77777777" w:rsidR="00C5419C" w:rsidRDefault="00874FEF">
      <w:pPr>
        <w:spacing w:after="150"/>
      </w:pPr>
      <w:r>
        <w:rPr>
          <w:i/>
          <w:iCs/>
          <w:sz w:val="21"/>
          <w:szCs w:val="21"/>
        </w:rPr>
        <w:t>Gamified Fall Risk Assessment and Failure-Induced Abandonment (FIAS) — EngD programme, Hong Kong Polytechnic University. Semi-structured guide, 45–60 minutes. Sidney K. T. Tam.</w:t>
      </w:r>
    </w:p>
    <w:p w14:paraId="3B23016B" w14:textId="77777777" w:rsidR="00C5419C" w:rsidRDefault="00874FEF">
      <w:pPr>
        <w:pStyle w:val="Heading2"/>
        <w:spacing w:before="240" w:after="9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Purpose and method note</w:t>
      </w:r>
    </w:p>
    <w:p w14:paraId="419EE846" w14:textId="4EE746B9" w:rsidR="00121397" w:rsidRPr="001F4DC8" w:rsidRDefault="001F4DC8">
      <w:pPr>
        <w:pStyle w:val="Heading2"/>
        <w:spacing w:before="240" w:after="90"/>
      </w:pPr>
      <w:r>
        <w:rPr>
          <w:sz w:val="23"/>
          <w:szCs w:val="23"/>
        </w:rPr>
        <w:t xml:space="preserve">To understand how elderly people </w:t>
      </w:r>
      <w:r w:rsidR="00E44764">
        <w:rPr>
          <w:sz w:val="23"/>
          <w:szCs w:val="23"/>
        </w:rPr>
        <w:t xml:space="preserve">are </w:t>
      </w:r>
      <w:r w:rsidR="009238AB">
        <w:rPr>
          <w:sz w:val="23"/>
          <w:szCs w:val="23"/>
        </w:rPr>
        <w:t xml:space="preserve">being </w:t>
      </w:r>
      <w:r w:rsidR="00226591">
        <w:rPr>
          <w:sz w:val="23"/>
          <w:szCs w:val="23"/>
        </w:rPr>
        <w:t xml:space="preserve">affected by their own </w:t>
      </w:r>
      <w:r w:rsidR="00AD7307">
        <w:rPr>
          <w:sz w:val="23"/>
          <w:szCs w:val="23"/>
        </w:rPr>
        <w:t xml:space="preserve">behavior when they were invited to any health related activities like assessment, rehabilitation </w:t>
      </w:r>
      <w:r w:rsidR="000404DB">
        <w:rPr>
          <w:sz w:val="23"/>
          <w:szCs w:val="23"/>
        </w:rPr>
        <w:t xml:space="preserve">therapy, </w:t>
      </w:r>
      <w:r w:rsidR="0021241D">
        <w:rPr>
          <w:sz w:val="23"/>
          <w:szCs w:val="23"/>
        </w:rPr>
        <w:t xml:space="preserve">group games </w:t>
      </w:r>
      <w:r w:rsidR="0018268A">
        <w:rPr>
          <w:sz w:val="23"/>
          <w:szCs w:val="23"/>
        </w:rPr>
        <w:t xml:space="preserve">or individual </w:t>
      </w:r>
      <w:r w:rsidR="007325FE">
        <w:rPr>
          <w:sz w:val="23"/>
          <w:szCs w:val="23"/>
        </w:rPr>
        <w:t xml:space="preserve">activities </w:t>
      </w:r>
      <w:r w:rsidR="00D70846">
        <w:rPr>
          <w:sz w:val="23"/>
          <w:szCs w:val="23"/>
        </w:rPr>
        <w:t xml:space="preserve">in health related </w:t>
      </w:r>
      <w:r w:rsidR="005D2855">
        <w:rPr>
          <w:sz w:val="23"/>
          <w:szCs w:val="23"/>
        </w:rPr>
        <w:t>situations</w:t>
      </w:r>
      <w:r w:rsidR="00815778">
        <w:rPr>
          <w:sz w:val="23"/>
          <w:szCs w:val="23"/>
        </w:rPr>
        <w:t xml:space="preserve">; the health contexts are not limited to physical </w:t>
      </w:r>
      <w:r w:rsidR="00784713">
        <w:rPr>
          <w:sz w:val="23"/>
          <w:szCs w:val="23"/>
        </w:rPr>
        <w:t xml:space="preserve">activity but include the mental and </w:t>
      </w:r>
      <w:r w:rsidR="00450312">
        <w:rPr>
          <w:sz w:val="23"/>
          <w:szCs w:val="23"/>
        </w:rPr>
        <w:t xml:space="preserve">behavioral aspects. </w:t>
      </w:r>
    </w:p>
    <w:p w14:paraId="511919F8" w14:textId="77777777" w:rsidR="00C5419C" w:rsidRDefault="00874FEF">
      <w:pPr>
        <w:spacing w:after="110"/>
      </w:pPr>
      <w:r>
        <w:rPr>
          <w:i/>
          <w:iCs/>
          <w:sz w:val="21"/>
          <w:szCs w:val="21"/>
        </w:rPr>
        <w:t>Record: name · exact title and institution (as the expert states it) · date · format · attribution choice · recording consent.</w:t>
      </w:r>
    </w:p>
    <w:p w14:paraId="4B062B11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A — Background (5 min)</w:t>
      </w:r>
    </w:p>
    <w:p w14:paraId="46AEFB33" w14:textId="0E09F3C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Please describe your current role and how your work relates to older adults and fall risk</w:t>
      </w:r>
      <w:r w:rsidR="00C75C35">
        <w:rPr>
          <w:sz w:val="21"/>
          <w:szCs w:val="21"/>
        </w:rPr>
        <w:t xml:space="preserve"> or other health </w:t>
      </w:r>
      <w:r w:rsidR="00666953">
        <w:rPr>
          <w:sz w:val="21"/>
          <w:szCs w:val="21"/>
        </w:rPr>
        <w:t xml:space="preserve">concerns. </w:t>
      </w:r>
    </w:p>
    <w:p w14:paraId="41E7AD11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From your discipline's perspective, what matters most about falls in older populations that other fields tend to miss?</w:t>
      </w:r>
    </w:p>
    <w:p w14:paraId="6FE74156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B — The engagement problem (10 min)</w:t>
      </w:r>
    </w:p>
    <w:p w14:paraId="15C26A1E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"In my fieldwork, most older adults who tried a clinical fall-risk assessment had an adverse first experience and never came back — even when their measured performance was improving."</w:t>
      </w:r>
    </w:p>
    <w:p w14:paraId="5E6DCDB3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Does that pattern match what you have seen or studied? Where have you seen it?</w:t>
      </w:r>
    </w:p>
    <w:p w14:paraId="35792CD6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In your view, what is happening inside that non-return?</w:t>
      </w:r>
    </w:p>
    <w:p w14:paraId="691EA602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Is there anything about the first experience specifically that carries so much weight?</w:t>
      </w:r>
    </w:p>
    <w:p w14:paraId="57D38BCB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C — Framing and purpose (10 min)</w:t>
      </w:r>
    </w:p>
    <w:p w14:paraId="69A6C841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"When the same game was offered with the clinical purpose removed — presented only as a coordination game — retention rose to over 93%, and most people who initially dropped out came back on their own."</w:t>
      </w:r>
    </w:p>
    <w:p w14:paraId="3E5D59D4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Why do you think removing the clinical frame changed behaviour that much?</w:t>
      </w:r>
    </w:p>
    <w:p w14:paraId="1E4BE94B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Is a "test" different from a "game" in some fundamental social sense for this generation?</w:t>
      </w:r>
    </w:p>
    <w:p w14:paraId="2D1C603E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D — The commitment gap (10 min)</w:t>
      </w:r>
    </w:p>
    <w:p w14:paraId="34A4EA4A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"Even in the decoupled version, there was a gap: about 85% of the oldest group completed the sessions, but only about 56% said they would use it regularly. Many who enjoyed it saw no place for it in their lives."</w:t>
      </w:r>
    </w:p>
    <w:p w14:paraId="35BCE277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What would you look at first to explain that gap?</w:t>
      </w:r>
    </w:p>
    <w:p w14:paraId="2A48B0F2" w14:textId="15D57195" w:rsidR="00C5419C" w:rsidRDefault="00C5419C" w:rsidP="00083232">
      <w:pPr>
        <w:spacing w:after="110"/>
      </w:pPr>
    </w:p>
    <w:p w14:paraId="41B8F2DB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What, in your experience, makes older adults return to an activity week after week — what builds the habit, not just the visit?</w:t>
      </w:r>
    </w:p>
    <w:p w14:paraId="6F498536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E — The social dimension (10 min)</w:t>
      </w:r>
    </w:p>
    <w:p w14:paraId="728857A8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Ask E1 openly BEFORE revealing that the study used individual play.</w:t>
      </w:r>
    </w:p>
    <w:p w14:paraId="7397CF93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Does the setting — alone versus with others — change how older adults experience an activity like this?</w:t>
      </w:r>
    </w:p>
    <w:p w14:paraId="22032ADF" w14:textId="77777777" w:rsidR="00C5419C" w:rsidRDefault="00874FEF"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The study sessions were played individually. Would you expect group play to change engagement? In which direction, and why?</w:t>
      </w:r>
    </w:p>
    <w:p w14:paraId="37870268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Are there conditions under which social play would backfire for this population?</w:t>
      </w:r>
    </w:p>
    <w:p w14:paraId="517417F0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How does culture shape this? Would your answer differ across the settings you have practised in?</w:t>
      </w:r>
    </w:p>
    <w:p w14:paraId="6DC728F4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F — Adaptive learning and design (8 min)</w:t>
      </w:r>
    </w:p>
    <w:p w14:paraId="0C7AFF85" w14:textId="77777777" w:rsidR="00C5419C" w:rsidRDefault="00874FEF">
      <w:pPr>
        <w:spacing w:after="80"/>
      </w:pPr>
      <w:r>
        <w:rPr>
          <w:i/>
          <w:iCs/>
          <w:sz w:val="21"/>
          <w:szCs w:val="21"/>
        </w:rPr>
        <w:t>Context to read: "My design proposal is adaptive learning: the game calibrates challenge to the individual and presents failure as information about a rising personal trajectory, so improvement itself becomes the reason to return."</w:t>
      </w:r>
    </w:p>
    <w:p w14:paraId="65A953ED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What is your reaction to that proposal from your clinical and rehabilitation standpoint?</w:t>
      </w:r>
    </w:p>
    <w:p w14:paraId="2C05974C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Through what channel would you expect adaptation to actually happen for an older person — private mastery, or something between people?</w:t>
      </w:r>
    </w:p>
    <w:p w14:paraId="6D89FD2C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If you could add one measure to a follow-up study to test your view, what would it be?</w:t>
      </w:r>
    </w:p>
    <w:p w14:paraId="61C27486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Section G — Closing (5 min)</w:t>
      </w:r>
    </w:p>
    <w:p w14:paraId="7BFD15F6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Is there anything important about this problem we have not touched?</w:t>
      </w:r>
    </w:p>
    <w:p w14:paraId="3740840A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Is there anyone whose perspective you think I should hear?</w:t>
      </w:r>
    </w:p>
    <w:p w14:paraId="41164F45" w14:textId="77777777" w:rsidR="00C5419C" w:rsidRDefault="00874FEF">
      <w:pPr>
        <w:pStyle w:val="ListParagraph"/>
        <w:numPr>
          <w:ilvl w:val="0"/>
          <w:numId w:val="2"/>
        </w:numPr>
        <w:spacing w:after="110"/>
      </w:pPr>
      <w:r>
        <w:rPr>
          <w:sz w:val="21"/>
          <w:szCs w:val="21"/>
        </w:rPr>
        <w:t>Confirm: attribution preference, quote-approval contact, and whether they wish to receive the findings.</w:t>
      </w:r>
    </w:p>
    <w:p w14:paraId="0FEBE987" w14:textId="77777777" w:rsidR="00C5419C" w:rsidRDefault="00874FEF">
      <w:pPr>
        <w:pStyle w:val="Heading2"/>
        <w:spacing w:before="240" w:after="90"/>
      </w:pPr>
      <w:r>
        <w:rPr>
          <w:b/>
          <w:bCs/>
          <w:sz w:val="23"/>
          <w:szCs w:val="23"/>
        </w:rPr>
        <w:t>After the interview (interviewer checklist)</w:t>
      </w:r>
    </w:p>
    <w:p w14:paraId="686AA340" w14:textId="77777777" w:rsidR="00C5419C" w:rsidRDefault="00874FEF">
      <w:pPr>
        <w:spacing w:after="110"/>
      </w:pPr>
      <w:r>
        <w:rPr>
          <w:sz w:val="21"/>
          <w:szCs w:val="21"/>
        </w:rPr>
        <w:t>Within 48 hours: write the record; note date, duration, format; file the consent; log the interview in the §3.5 action-research record; send the attribution sentences for approval before binding; add the approved record to Appendix G. Do not merge insights into the thesis text before the quote-approval returns.</w:t>
      </w:r>
    </w:p>
    <w:sectPr w:rsidR="00C541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447ABD"/>
    <w:multiLevelType w:val="hybridMultilevel"/>
    <w:tmpl w:val="FFFFFFFF"/>
    <w:lvl w:ilvl="0" w:tplc="D52EFCC4">
      <w:start w:val="1"/>
      <w:numFmt w:val="decimal"/>
      <w:lvlText w:val="%1."/>
      <w:lvlJc w:val="left"/>
      <w:pPr>
        <w:ind w:left="431" w:hanging="431"/>
      </w:pPr>
    </w:lvl>
    <w:lvl w:ilvl="1" w:tplc="7E4005E8">
      <w:numFmt w:val="decimal"/>
      <w:lvlText w:val=""/>
      <w:lvlJc w:val="left"/>
    </w:lvl>
    <w:lvl w:ilvl="2" w:tplc="048229D0">
      <w:numFmt w:val="decimal"/>
      <w:lvlText w:val=""/>
      <w:lvlJc w:val="left"/>
    </w:lvl>
    <w:lvl w:ilvl="3" w:tplc="793C5672">
      <w:numFmt w:val="decimal"/>
      <w:lvlText w:val=""/>
      <w:lvlJc w:val="left"/>
    </w:lvl>
    <w:lvl w:ilvl="4" w:tplc="D95C3CAC">
      <w:numFmt w:val="decimal"/>
      <w:lvlText w:val=""/>
      <w:lvlJc w:val="left"/>
    </w:lvl>
    <w:lvl w:ilvl="5" w:tplc="26644DDC">
      <w:numFmt w:val="decimal"/>
      <w:lvlText w:val=""/>
      <w:lvlJc w:val="left"/>
    </w:lvl>
    <w:lvl w:ilvl="6" w:tplc="7B0AC542">
      <w:numFmt w:val="decimal"/>
      <w:lvlText w:val=""/>
      <w:lvlJc w:val="left"/>
    </w:lvl>
    <w:lvl w:ilvl="7" w:tplc="FE861252">
      <w:numFmt w:val="decimal"/>
      <w:lvlText w:val=""/>
      <w:lvlJc w:val="left"/>
    </w:lvl>
    <w:lvl w:ilvl="8" w:tplc="1104042A">
      <w:numFmt w:val="decimal"/>
      <w:lvlText w:val=""/>
      <w:lvlJc w:val="left"/>
    </w:lvl>
  </w:abstractNum>
  <w:abstractNum w:abstractNumId="1" w15:restartNumberingAfterBreak="0">
    <w:nsid w:val="516B4F4E"/>
    <w:multiLevelType w:val="hybridMultilevel"/>
    <w:tmpl w:val="FFFFFFFF"/>
    <w:lvl w:ilvl="0" w:tplc="33689EB8">
      <w:start w:val="1"/>
      <w:numFmt w:val="bullet"/>
      <w:lvlText w:val="●"/>
      <w:lvlJc w:val="left"/>
      <w:pPr>
        <w:ind w:left="720" w:hanging="360"/>
      </w:pPr>
    </w:lvl>
    <w:lvl w:ilvl="1" w:tplc="9A1497DA">
      <w:start w:val="1"/>
      <w:numFmt w:val="bullet"/>
      <w:lvlText w:val="○"/>
      <w:lvlJc w:val="left"/>
      <w:pPr>
        <w:ind w:left="1440" w:hanging="360"/>
      </w:pPr>
    </w:lvl>
    <w:lvl w:ilvl="2" w:tplc="ECE6FA8E">
      <w:start w:val="1"/>
      <w:numFmt w:val="bullet"/>
      <w:lvlText w:val="■"/>
      <w:lvlJc w:val="left"/>
      <w:pPr>
        <w:ind w:left="2160" w:hanging="360"/>
      </w:pPr>
    </w:lvl>
    <w:lvl w:ilvl="3" w:tplc="DAA46B14">
      <w:start w:val="1"/>
      <w:numFmt w:val="bullet"/>
      <w:lvlText w:val="●"/>
      <w:lvlJc w:val="left"/>
      <w:pPr>
        <w:ind w:left="2880" w:hanging="360"/>
      </w:pPr>
    </w:lvl>
    <w:lvl w:ilvl="4" w:tplc="65420A76">
      <w:start w:val="1"/>
      <w:numFmt w:val="bullet"/>
      <w:lvlText w:val="○"/>
      <w:lvlJc w:val="left"/>
      <w:pPr>
        <w:ind w:left="3600" w:hanging="360"/>
      </w:pPr>
    </w:lvl>
    <w:lvl w:ilvl="5" w:tplc="BF140992">
      <w:start w:val="1"/>
      <w:numFmt w:val="bullet"/>
      <w:lvlText w:val="■"/>
      <w:lvlJc w:val="left"/>
      <w:pPr>
        <w:ind w:left="4320" w:hanging="360"/>
      </w:pPr>
    </w:lvl>
    <w:lvl w:ilvl="6" w:tplc="6CDC8BBE">
      <w:start w:val="1"/>
      <w:numFmt w:val="bullet"/>
      <w:lvlText w:val="●"/>
      <w:lvlJc w:val="left"/>
      <w:pPr>
        <w:ind w:left="5040" w:hanging="360"/>
      </w:pPr>
    </w:lvl>
    <w:lvl w:ilvl="7" w:tplc="8C0C1668">
      <w:start w:val="1"/>
      <w:numFmt w:val="bullet"/>
      <w:lvlText w:val="●"/>
      <w:lvlJc w:val="left"/>
      <w:pPr>
        <w:ind w:left="5760" w:hanging="360"/>
      </w:pPr>
    </w:lvl>
    <w:lvl w:ilvl="8" w:tplc="D85868EC">
      <w:start w:val="1"/>
      <w:numFmt w:val="bullet"/>
      <w:lvlText w:val="●"/>
      <w:lvlJc w:val="left"/>
      <w:pPr>
        <w:ind w:left="6480" w:hanging="360"/>
      </w:pPr>
    </w:lvl>
  </w:abstractNum>
  <w:num w:numId="1" w16cid:durableId="1508326143">
    <w:abstractNumId w:val="1"/>
    <w:lvlOverride w:ilvl="0">
      <w:startOverride w:val="1"/>
    </w:lvlOverride>
  </w:num>
  <w:num w:numId="2" w16cid:durableId="1108624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9C"/>
    <w:rsid w:val="000404DB"/>
    <w:rsid w:val="00083232"/>
    <w:rsid w:val="001042B6"/>
    <w:rsid w:val="00121397"/>
    <w:rsid w:val="0018268A"/>
    <w:rsid w:val="001F4DC8"/>
    <w:rsid w:val="0021241D"/>
    <w:rsid w:val="00226591"/>
    <w:rsid w:val="00450312"/>
    <w:rsid w:val="004933C2"/>
    <w:rsid w:val="005D2855"/>
    <w:rsid w:val="00666953"/>
    <w:rsid w:val="007325FE"/>
    <w:rsid w:val="00784713"/>
    <w:rsid w:val="007E4A02"/>
    <w:rsid w:val="00815778"/>
    <w:rsid w:val="00874FEF"/>
    <w:rsid w:val="009238AB"/>
    <w:rsid w:val="00AD7307"/>
    <w:rsid w:val="00C5419C"/>
    <w:rsid w:val="00C75C35"/>
    <w:rsid w:val="00D70846"/>
    <w:rsid w:val="00E4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1ECC4"/>
  <w15:docId w15:val="{E236FCB8-9D1E-384E-89D1-7794092E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H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TAM, Sidney [Student]</cp:lastModifiedBy>
  <cp:revision>2</cp:revision>
  <dcterms:created xsi:type="dcterms:W3CDTF">2026-07-19T16:17:00Z</dcterms:created>
  <dcterms:modified xsi:type="dcterms:W3CDTF">2026-07-19T16:17:00Z</dcterms:modified>
</cp:coreProperties>
</file>