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Gamification as a Proactive Approach: A Study of Elderly Failure-Induced Abandonment in Gamified Fall Risk Assessment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Fall Risk Assessment (FRA) systems can assess balance and support fall prevention as clinical devices, but rarely achieve sustained elderly user engagement. This study examines the factors associated with low engagement and rapid, permanent dropout in a gamified, AI-assisted FRA among elderly residents after their first adverse user experience. An action-research approach was employed at a residential care facility in Southern China. An AI-assisted skiing game was developed on the FRA system's weight-shifting foot pressure panel, allowing elderly individuals to undergo balance measurement while steering a skier on a display. Thirty residents (aged 62-84; mean 71.1 ± 5.9) participated over eight weeks. Seventy per cent (21 of 30; 95% CI 52.1-83.3%) disengaged at or before three game cycles, 26.7% (8 of 30; 95% CI 14.2-44.4%) exited after a single session, and no disengaged participant re-engaged within the study window (0 of 21; 95% CI 0.0-15.5%). Among the nine sustained participants the recorded FRA index improved by +6.9 points (95% CI 4.5-9.3; paired dz = 2.22, 95% CI 0.95-3.46); across all thirty, the paired change was +4.0 points (95% CI 0.5-7.6; dz = 0.42, 95% CI 0.05-0.79). Satisfaction was strongly associated with sustained engagement (9/9 versus 11/21; Fisher's exact p = 0.013). Most strikingly, three participants whose recorded index improved during their only session still never returned. The study did not seek engineering excellence in game design; its findings concern the behavioural context beneath the play. We carry two working hypotheses of failure response: Failure-Induced Dropout (FIDS), associated with self-efficacy collapse at first failure, and Failure-Induced Abandonment (FIAS), associated with loss aversion when negative feedback is read as evidence of declining function. Four falsifiable predictions (H1-H4) and a domain-reframing hypothesis (H5) are specified for a pre-registered three-arm confirmatory study.</w:t>
      </w:r>
    </w:p>
    <w:p>
      <w:r>
        <w:t>Keywords: fall risk assessment, gamification, elderly technology adoption, failure-induced abandonment, loss aversion, eHealth attrition, action research.</w:t>
      </w:r>
    </w:p>
    <w:p>
      <w:pPr>
        <w:pStyle w:val="Heading1"/>
      </w:pPr>
      <w:r>
        <w:t>I. 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2"/>
      </w:pPr>
      <w:r>
        <w:t>B. 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2"/>
      </w:pPr>
      <w:r>
        <w:t>C. 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2"/>
      </w:pPr>
      <w:r>
        <w:t>D. 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2"/>
      </w:pPr>
      <w:r>
        <w:t>F. 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2"/>
      </w:pPr>
      <w:r>
        <w:t>H. 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2"/>
      </w:pPr>
      <w:r>
        <w:t>J. 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[32]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1"/>
      </w:pPr>
      <w:r>
        <w:t>V. Definitions and Operationalisation</w:t>
      </w:r>
    </w:p>
    <w:p>
      <w:r>
        <w:t>Table I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I.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Staff were instructed to use phrases such as 'you are practising a new balance skill' in place of 'you are being tested for fall risk'.</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2"/>
      </w:pPr>
      <w:r>
        <w:t>C. 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1"/>
      </w:pPr>
      <w:r>
        <w:t>VII. 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2"/>
      </w:pPr>
      <w:r>
        <w:t>B. Clinical Outcomes</w:t>
      </w:r>
    </w:p>
    <w:p>
      <w:r>
        <w:rPr>
          <w:i/>
          <w:sz w:val="18"/>
        </w:rPr>
        <w:t>Table II.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II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IIA.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C. The Abandonment Pattern</w:t>
      </w:r>
    </w:p>
    <w:p>
      <w:r>
        <w:rPr>
          <w:i/>
          <w:sz w:val="18"/>
        </w:rPr>
        <w:t>Table III.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No time-to-event model is reported: the archive preserves cycle counts, not timestamps. The evidential core of the pattern is carried by the three directly observed quantities in Table III and by the satisfaction association above.</w:t>
      </w:r>
    </w:p>
    <w:p>
      <w:pPr>
        <w:pStyle w:val="Heading1"/>
      </w:pPr>
      <w:r>
        <w:t>IX. 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IV.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V.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pStyle w:val="Heading1"/>
      </w:pPr>
      <w:r>
        <w:t>X. F4 Interview Protocol</w:t>
      </w:r>
    </w:p>
    <w:p>
      <w:r>
        <w:t>F4-cluster participants were interviewed within three to five days of the abandoned session about whether the decision to stop was immediate or deliberate. Table VI shows the nine-question protocol; questions 3 and 4 test H2 and H3, question 7 tests H4, and question 9 probes domain reframing.</w:t>
      </w:r>
    </w:p>
    <w:p>
      <w:r>
        <w:rPr>
          <w:i/>
          <w:sz w:val="18"/>
        </w:rPr>
        <w:t>Table VI.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B. RQ2: Why Does Abandonment Persist?</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pPr>
        <w:pStyle w:val="Heading2"/>
      </w:pPr>
      <w:r>
        <w:t>D. Extended Theory: Endowment, Stereotype Threat,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1"/>
      </w:pPr>
      <w:r>
        <w:t>XIII. 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 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'A study of utilisation of Fall Risk Assessment among elderly users: A critical review through TAM and Octalysis frameworks with gamification approach,' accepted for publication (SS-293).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2 R2 - full rewrite aligned with thesis V20</dc:title>
  <dc:subject/>
  <dc:creator>python-docx</dc:creator>
  <cp:keywords/>
  <dc:description>R2 (19 Jul 2026): complete rewrite for submission. V20 statistics only; withdrawn analyses disclosed once; composite descriptive-only; session-based definitions; renumbered references incl. SS-293 as [46].</dc:description>
  <cp:lastModifiedBy/>
  <cp:revision>1</cp:revision>
  <dcterms:created xsi:type="dcterms:W3CDTF">2013-12-23T23:15:00Z</dcterms:created>
  <dcterms:modified xsi:type="dcterms:W3CDTF">2013-12-23T23:15:00Z</dcterms:modified>
  <cp:category/>
</cp:coreProperties>
</file>