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interviewed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4 Stage 1 — From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 Purpose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4.1A What is Fall Risk Assessment (FRA)? Basic System Design and Features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4.2 The Guangzhou Survey (N = 200 of 280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4.3 TAM, STAM and the Limitation for Retired Users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4.4 Octalysis and the In-Game Loss Assumption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4.5 Behavioural Science Lenses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4.6 Terminological Correction: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4.7 Cross-Cultural Reference Point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4.8 Output and Stage-1 Limitations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5 Stage 2 — Action Research with Gamified FRA</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5.1 Research Questions and Hypotheses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 Setting and Action-Research Approach</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5.2A Integrating the FRA into the Skiing Game: The Dual-Purpose Mechanic in Detail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5.3 The Gamified Intervention — Skiing Game on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5.3.2 Game Concept and Gameplay Loop</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5.3.3 On-Screen Display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5.3.4 Five-Layer Architecture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5.3.5 Automatic Difficulty Adjustment System</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5.3.6 Data Structures and Telemetry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5.3.7 Sample User Profile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5.3.8 Why a Skiing Game?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5.3.9 Development Methodology: The Claude Code-Assisted Workflow</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5.3.10 Dynamic Game States: An Agentic-AI-Driven, Loss-Free Game Mechanic (Secondary Contribution)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5.4 Participants and Data Governance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5.5 Quantitative Findings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5.6 The F4 Cluster and the Objective-Score-Improvement/Non-Return Paradox</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50</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5.7 Theoretical Extension: Endowment, Stereotype Threat, Domain Reframing</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5.8 Information-Entropy Lens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5.9 Limitations and What Stage 2 Establishes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6 Stage 3 — Participant-Facing Decoupling: Between-Cohort Evidence for a Frame-Sensitive Account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 Why a Decoupling Stage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6.2 Research Question and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6.3 Methodology: A Participant-Facing Decoupling Package in a Separate Cohort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6.4 Participants and Apparatus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6.5 Findings: A Substantial Behavioural Shift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6.6 The Objective-Score-Improvement/Non-Return Paradox Reconsidered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6.7 Frame-Sensitive versus Dispositional Accounts: Calibrated Inference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6.8 The Commitment Gap and Its Design Implication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pPr>
      <w:r>
        <w:rPr>
          <w:szCs w:val="22"/>
          <w:lang w:val="en-US" w:eastAsia="en-US" w:bidi="ar-SA"/>
          <w:rFonts w:ascii="Times New Roman" w:hAnsi="Times New Roman" w:eastAsia="Times New Roman" w:cs="Times New Roman"/>
          <w:sz w:val="24"/>
        </w:rPr>
        <w:t>6.8A The Commitment Gap Read Through Group Dynamics: An Expert Consultation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6.9 Limitations of Stage 3</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6.10 Quantitative Comparison Against Existing Models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6.10.1 Three-Tier Nested Model Specification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6.10.2 Statistical Comparison Plan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6.10.3 Decision-Curve Analysis and Practical Significance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6.10.4 Pre-Specified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6.10.5 Provisional Estimates from the Existing Datasets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6.11 Consolidated Statistical Results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7 Discussion: Adaptive Learning as the Behavioural-Change Driver</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9.7 Theoretical Contributions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 Practical Contributions for Industry and Practice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9.8A A Secondary Contribution to Gamification: Agentic-AI-Driven Dynamic Game States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9.8B Future Research Proposition: From Telemetry-Conditioned to Person-Conditioned Adaptation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9.8C Bounded Implications for AI Evaluation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9.9 Limits of What Has Been Shown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9.10 Natural Extensions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9.11 Returning to the Three F4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9.12 Closing Synthesis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93</w:t>
      </w:r>
    </w:p>
    <w:p>
      <w:pPr>
        <w:pStyle w:val="TOC1"/>
        <w:tabs>
          <w:tab w:val="right" w:leader="dot" w:pos="8495"/>
        </w:tabs>
        <w:rPr>
          <w:noProof/>
        </w:rPr>
      </w:pPr>
      <w:r>
        <w:rPr>
          <w:szCs w:val="22"/>
          <w:lang w:val="en-US" w:eastAsia="en-US" w:bidi="ar-SA"/>
          <w:rFonts w:ascii="Times New Roman" w:hAnsi="Times New Roman" w:eastAsia="Times New Roman" w:cs="Times New Roman"/>
          <w:sz w:val="24"/>
        </w:rPr>
        <w:t>References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Appendices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A · Stage-1 Survey Instrument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A.1 · Survey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B · Stage-2 FIAS Coding Scheme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C · Stage-2 Qualitative Record and the F4 Interview Protocol (Designed, Not Administered)</w:t>
        <w:tab/>
        <w:t>104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C.1 · Question Set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D · Stage-3 Decoupling Questionnaire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D.1 · Post-Session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D.2 · Demographic Block (At Enrolment)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E · Five-Layer Architecture and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E.1 · Layers L0–L4 (Stage-2 Operational)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E.2 · Layers L5–L7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E.3 · AI Safety Provisions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107</w:t>
      </w:r>
    </w:p>
    <w:p>
      <w:pPr>
        <w:pStyle w:val="TOC2"/>
      </w:pPr>
      <w:r>
        <w:rPr>
          <w:szCs w:val="22"/>
          <w:lang w:val="en-US" w:eastAsia="en-US" w:bidi="ar-SA"/>
          <w:rFonts w:ascii="Times New Roman" w:hAnsi="Times New Roman" w:eastAsia="Times New Roman" w:cs="Times New Roman"/>
          <w:sz w:val="24"/>
        </w:rPr>
        <w:t>Appendix F · Glossary of Key Constructs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108</w:t>
      </w:r>
    </w:p>
    <w:p>
      <w:pPr>
        <w:pStyle w:val="TOC2"/>
        <w:spacing w:after="200" w:line="276" w:lineRule="auto"/>
        <w:rPr>
          <w:rFonts w:asciiTheme="majorHAnsi" w:eastAsiaTheme="majorEastAsia" w:hAnsiTheme="majorHAnsi" w:cstheme="majorBidi"/>
          <w:b/>
          <w:bCs/>
          <w:color w:val="000000"/>
          <w:sz w:val="32"/>
          <w:szCs w:val="32"/>
        </w:rPr>
      </w:pPr>
      <w:r>
        <w:rPr>
          <w:rFonts w:asciiTheme="majorHAnsi" w:eastAsiaTheme="majorEastAsia" w:hAnsiTheme="majorHAnsi" w:cstheme="majorBidi" w:ascii="Times New Roman" w:hAnsi="Times New Roman" w:eastAsia="Times New Roman" w:cs="Times New Roman"/>
          <w:b/>
          <w:color w:val="000000"/>
          <w:sz w:val="32"/>
          <w:szCs w:val="28"/>
        </w:rPr>
        <w:t>Appendix G · Raw Data, Photographs and Supplementary Materials</w:t>
      </w:r>
      <w:r>
        <w:rPr>
          <w:rFonts w:asciiTheme="majorHAnsi" w:eastAsiaTheme="majorEastAsia" w:hAnsiTheme="majorHAnsi" w:cstheme="majorBidi"/>
          <w:b/>
          <w:color w:val="000000"/>
          <w:sz w:val="32"/>
          <w:szCs w:val="32"/>
        </w:rPr>
        <w:tab/>
      </w:r>
      <w:r>
        <w:rPr>
          <w:rFonts w:asciiTheme="majorHAnsi" w:eastAsiaTheme="majorEastAsia" w:hAnsiTheme="majorHAnsi" w:cstheme="majorBidi" w:ascii="Times New Roman" w:hAnsi="Times New Roman" w:eastAsia="Times New Roman" w:cs="Times New Roman"/>
          <w:b/>
          <w:color w:val="000000"/>
          <w:sz w:val="32"/>
          <w:szCs w:val="28"/>
        </w:rPr>
        <w:t>110</w:t>
      </w:r>
    </w:p>
    <w:p>
      <w:pPr>
        <w:pStyle w:val="TOC2"/>
      </w:pPr>
      <w:r>
        <w:rPr>
          <w:szCs w:val="22"/>
          <w:lang w:val="en-US" w:eastAsia="en-US" w:bidi="ar-SA"/>
          <w:rFonts w:ascii="Times New Roman" w:hAnsi="Times New Roman" w:eastAsia="Times New Roman" w:cs="Times New Roman"/>
          <w:sz w:val="24"/>
        </w:rPr>
        <w:t>Appendix H · Expert Consultation Record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112</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Figures</w:t>
      </w:r>
    </w:p>
    <w:p>
      <w:pPr>
        <w:pStyle w:val="TOC1"/>
      </w:pPr>
      <w:r>
        <w:rPr>
          <w:szCs w:val="22"/>
          <w:lang w:val="en-US" w:eastAsia="en-US" w:bidi="ar-SA"/>
          <w:rFonts w:ascii="Times New Roman" w:hAnsi="Times New Roman" w:eastAsia="Times New Roman" w:cs="Times New Roman"/>
          <w:sz w:val="24"/>
        </w:rPr>
        <w:t>Figure 1.1. The intellectual structure of the thesis: from industrial problem through FIAS, the adaptive-learning framework and the dynamic game-state engine to the industrial outcome.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3.1. Three-stage action research programme. Each stage produces an empirical output and a theoretical revision; the three stages converge on the adaptive-learning framework design framework and the future-work programme.</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26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30</w:t>
      </w:r>
    </w:p>
    <w:p>
      <w:pPr>
        <w:pStyle w:val="TOC1"/>
      </w:pPr>
      <w:r>
        <w:rPr>
          <w:szCs w:val="22"/>
          <w:lang w:val="en-US" w:eastAsia="en-US" w:bidi="ar-SA"/>
          <w:rFonts w:ascii="Times New Roman" w:hAnsi="Times New Roman" w:eastAsia="Times New Roman" w:cs="Times New Roman"/>
          <w:sz w:val="24"/>
        </w:rPr>
        <w:t>Figure 4.1B. The FRA balance station as deployed in the rehabilitation room of the Guangzhou facility.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 xml:space="preserve">Figure 5.0. Integration of the FRA system into the skiing game. The four-load-cell footplate is shared; the COP stream feeds a player-facing pipeline (skiing-game engine, design parameters, adaptive difficulty engine, telemetry logger) on the left and a </w:t>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5.1. Skiing game on-screen display. The skier is controlled through Centre-of-Pressure shifts on the InBody panel; trees and rocks act as obstacles, gold coins reward forward play, and a level-and-score display is anchored to the top of the screen.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40</w:t>
      </w:r>
    </w:p>
    <w:p>
      <w:pPr>
        <w:pStyle w:val="TOC1"/>
      </w:pPr>
      <w:r>
        <w:rPr>
          <w:szCs w:val="22"/>
          <w:lang w:val="en-US" w:eastAsia="en-US" w:bidi="ar-SA"/>
          <w:rFonts w:ascii="Times New Roman" w:hAnsi="Times New Roman" w:eastAsia="Times New Roman" w:cs="Times New Roman"/>
          <w:sz w:val="24"/>
        </w:rPr>
        <w:t>Figure 5.1A. The platform-game coupling demonstrated by a control person (development office, August 2024).</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pPr>
      <w:r>
        <w:rPr>
          <w:szCs w:val="22"/>
          <w:lang w:val="en-US" w:eastAsia="en-US" w:bidi="ar-SA"/>
          <w:rFonts w:ascii="Times New Roman" w:hAnsi="Times New Roman" w:eastAsia="Times New Roman" w:cs="Times New Roman"/>
          <w:sz w:val="24"/>
        </w:rPr>
        <w:t>Figure 5.1B. The deployed game artefact across difficulty levels 1–5 (screenshots from the archived game build).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5.2. Five-layer architecture of the gamified FRA system. The dual-purpose mechanic links Layer 0 (sensor input) and Layer 4 (clinical output) through the gameplay layers without exposing clinical numbers to the user during play.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5.4. Participant-level pre/post recorded FRA index for the Stage-2 cohort (N = 30), by engagement group.</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5.5. Participant flow diagram (Stage 2, N = 30): no re-engagement was observed among the twenty-one low-engagement participants during the eight-week study window.</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5.6. Distribution of provisional FIAS composite scores across all 30 participants. The composite includes engagement-outcome attributes, so the separation of the F4 cluster is expected by construction; the figure is descriptive case identification, not evidence (§5.6).</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6.1. Stage-3 retention and observed non-return at the end of the study window by age band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6.2. Return behaviour after initial dropout, by age band: 62.5% return rate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6.3. Retention versus regular-use intention by age band: the 29.3-pp commitment gap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7.1. adaptive-learning reference stack: existing five-layer FRA architecture (L0–L4) extended with three additional layers (L5 User-Facing Trajectory; L6 Staff Coaching Protocol; L7 Adaptive-Learning Telemetry).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68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90</w:t>
      </w:r>
    </w:p>
    <w:p>
      <w:pPr>
        <w:pStyle w:val="Normal"/>
      </w:pPr>
    </w:p>
    <w:p>
      <w:pPr>
        <w:pStyle w:val="Heading1"/>
      </w:pPr>
      <w:bookmarkStart w:id="3" w:name="_Toc232024494"/>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Tables</w:t>
      </w:r>
      <w:bookmarkEnd w:id="3"/>
    </w:p>
    <w:p>
      <w:pPr>
        <w:pStyle w:val="TOC1"/>
      </w:pPr>
      <w:r>
        <w:rPr>
          <w:szCs w:val="22"/>
          <w:lang w:val="en-US" w:eastAsia="en-US" w:bidi="ar-SA"/>
          <w:rFonts w:ascii="Times New Roman" w:hAnsi="Times New Roman" w:eastAsia="Times New Roman" w:cs="Times New Roman"/>
          <w:sz w:val="24"/>
        </w:rPr>
        <w:t>Table 2.1. From the rejected null hypothesis to candidate mechanisms: the structure of the FIAS account.</w:t>
      </w:r>
    </w:p>
    <w:p>
      <w:pPr>
        <w:pStyle w:val="TOC1"/>
      </w:pPr>
      <w:r>
        <w:rPr>
          <w:szCs w:val="22"/>
          <w:lang w:val="en-US" w:eastAsia="en-US" w:bidi="ar-SA"/>
          <w:rFonts w:ascii="Times New Roman" w:hAnsi="Times New Roman" w:eastAsia="Times New Roman" w:cs="Times New Roman"/>
          <w:sz w:val="24"/>
        </w:rPr>
        <w:t>Table 3.1. The hypothesis architecture of the programme: where each claim originates, is stated, is tested, and stands.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4.1. Stage-1 survey results (N = 200 residents interviewed, of a resident population of 280).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4.2. TAM limitations for elderly FRA users.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4.3. Octalysis drives contextualised against STAM characteristics.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5.0. Skiing-game parameters by which the FRA COP signal is integrated into gameplay (extract; full specification in Game_States_and_Parameters.xlsx).</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5.1. Skiing game data structure summary.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5.2. Stage-2 engagement pattern (N = 30).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48</w:t>
      </w:r>
    </w:p>
    <w:p>
      <w:pPr>
        <w:pStyle w:val="TOC1"/>
      </w:pPr>
      <w:r>
        <w:rPr>
          <w:szCs w:val="22"/>
          <w:lang w:val="en-US" w:eastAsia="en-US" w:bidi="ar-SA"/>
          <w:rFonts w:ascii="Times New Roman" w:hAnsi="Times New Roman" w:eastAsia="Times New Roman" w:cs="Times New Roman"/>
          <w:sz w:val="24"/>
        </w:rPr>
        <w:t>Table 5.3. QFD deployment matrix: user needs mapped onto game technical characteristics.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6.1. Stage-3 overall engagement and dropout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6.2. Stage-3 age-stratified engagement.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6.3. Stage-3 coordination endorsement and regular-use intention by age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6.4. Three-tier nested model specification for the FIAS-vs-TAM/STAM quantitative comparison.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6.5. Consolidated statistical results for the key contrasts of Stages 2 and 3.</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7.1. Adaptive-learning principles, function and empirical anchor.</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8.0. The four contribution registers and where each is stated.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72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7.2. Adaptive-learning reference stack (L0–L7) mapped to adaptive-learning principles.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89</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Abbreviations</w:t>
      </w:r>
    </w:p>
    <w:tbl>
      <w:tblPr>
        <w:tblStyle w:val="TableGrid"/>
        <w:tblW w:w="0" w:type="auto"/>
        <w:jc w:val="center"/>
        <w:tblLook w:val="04A0" w:firstRow="1" w:lastRow="0" w:firstColumn="1" w:lastColumn="0" w:noHBand="0" w:noVBand="1"/>
      </w:tblPr>
      <w:tblGrid>
        <w:gridCol w:w="4247"/>
        <w:gridCol w:w="4248"/>
      </w:tblGrid>
      <w:tr>
        <w:trPr>
          <w:jc w:val="center"/>
        </w:trPr>
        <w:tc>
          <w:tcPr>
            <w:tcW w:w="4247" w:type="dxa"/>
          </w:tcPr>
          <w:p>
            <w:pPr>
              <w:pStyle w:val="Normal"/>
            </w:pPr>
            <w:r>
              <w:rPr>
                <w:b/>
                <w:sz w:val="20"/>
                <w:szCs w:val="22"/>
                <w:lang w:val="en-US" w:eastAsia="en-US" w:bidi="ar-SA"/>
                <w:rFonts w:ascii="Times New Roman" w:hAnsi="Times New Roman" w:eastAsia="Times New Roman" w:cs="Times New Roman"/>
              </w:rPr>
              <w:t>AI</w:t>
            </w:r>
          </w:p>
        </w:tc>
        <w:tc>
          <w:tcPr>
            <w:tcW w:w="4248" w:type="dxa"/>
          </w:tcPr>
          <w:p>
            <w:pPr>
              <w:pStyle w:val="Normal"/>
            </w:pPr>
            <w:r>
              <w:rPr>
                <w:b/>
                <w:sz w:val="20"/>
                <w:szCs w:val="22"/>
                <w:lang w:val="en-US" w:eastAsia="en-US" w:bidi="ar-SA"/>
                <w:rFonts w:ascii="Times New Roman" w:hAnsi="Times New Roman" w:eastAsia="Times New Roman" w:cs="Times New Roman"/>
              </w:rPr>
              <w:t>Artificial Intelligence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AIC / BIC</w:t>
            </w:r>
          </w:p>
        </w:tc>
        <w:tc>
          <w:tcPr>
            <w:tcW w:w="4248"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AUC</w:t>
            </w:r>
          </w:p>
        </w:tc>
        <w:tc>
          <w:tcPr>
            <w:tcW w:w="4248"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CI</w:t>
            </w:r>
          </w:p>
        </w:tc>
        <w:tc>
          <w:tcPr>
            <w:tcW w:w="4248"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COP</w:t>
            </w:r>
          </w:p>
        </w:tc>
        <w:tc>
          <w:tcPr>
            <w:tcW w:w="4248"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FES-I</w:t>
            </w:r>
          </w:p>
        </w:tc>
        <w:tc>
          <w:tcPr>
            <w:tcW w:w="4248"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FIAS</w:t>
            </w:r>
          </w:p>
        </w:tc>
        <w:tc>
          <w:tcPr>
            <w:tcW w:w="4248"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FIDS</w:t>
            </w:r>
          </w:p>
        </w:tc>
        <w:tc>
          <w:tcPr>
            <w:tcW w:w="4248"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FRA</w:t>
            </w:r>
          </w:p>
        </w:tc>
        <w:tc>
          <w:tcPr>
            <w:tcW w:w="4248"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PEOU</w:t>
            </w:r>
          </w:p>
        </w:tc>
        <w:tc>
          <w:tcPr>
            <w:tcW w:w="4248"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PIPL</w:t>
            </w:r>
          </w:p>
        </w:tc>
        <w:tc>
          <w:tcPr>
            <w:tcW w:w="4248"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trPr>
        <w:tc>
          <w:tcPr>
            <w:tcW w:w="4247" w:type="dxa"/>
          </w:tcPr>
          <w:p>
            <w:pPr>
              <w:pStyle w:val="Normal"/>
            </w:pPr>
            <w:r>
              <w:rPr>
                <w:szCs w:val="22"/>
                <w:lang w:val="en-US" w:eastAsia="en-US" w:bidi="ar-SA"/>
                <w:rFonts w:ascii="Times New Roman" w:hAnsi="Times New Roman" w:eastAsia="Times New Roman" w:cs="Times New Roman"/>
                <w:sz w:val="20"/>
              </w:rPr>
              <w:t>PU</w:t>
            </w:r>
          </w:p>
        </w:tc>
        <w:tc>
          <w:tcPr>
            <w:tcW w:w="4248"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STAM</w:t>
            </w:r>
          </w:p>
        </w:tc>
        <w:tc>
          <w:tcPr>
            <w:tcW w:w="4248"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TAM</w:t>
            </w:r>
          </w:p>
        </w:tc>
        <w:tc>
          <w:tcPr>
            <w:tcW w:w="4248"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UTAUT</w:t>
            </w:r>
          </w:p>
        </w:tc>
        <w:tc>
          <w:tcPr>
            <w:tcW w:w="4248"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WTA</w:t>
            </w:r>
          </w:p>
        </w:tc>
        <w:tc>
          <w:tcPr>
            <w:tcW w:w="4248"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WTP</w:t>
            </w:r>
          </w:p>
        </w:tc>
        <w:tc>
          <w:tcPr>
            <w:tcW w:w="4248" w:type="dxa"/>
          </w:tcPr>
          <w:p>
            <w:pPr>
              <w:pStyle w:val="Normal"/>
            </w:pPr>
            <w:r>
              <w:rPr>
                <w:sz w:val="20"/>
                <w:szCs w:val="22"/>
                <w:lang w:val="en-US" w:eastAsia="en-US" w:bidi="ar-SA"/>
                <w:rFonts w:ascii="Times New Roman" w:hAnsi="Times New Roman" w:eastAsia="Times New Roman" w:cs="Times New Roman"/>
              </w:rPr>
              <w:t>Willingness To Pay</w:t>
            </w:r>
          </w:p>
        </w:tc>
      </w:tr>
    </w:tbl>
    <w:p>
      <w:pPr>
        <w:pStyle w:val="Normal"/>
        <w:spacing w:after="40"/>
      </w:pPr>
    </w:p>
    <w:p>
      <w:pPr>
        <w:pStyle w:val="Normal"/>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Chapter 1 Introduction</w:t>
      </w:r>
      <w:bookmarkEnd w:id="4"/>
    </w:p>
    <w:p>
      <w:pPr>
        <w:pStyle w:val="Heading2"/>
      </w:pPr>
      <w:bookmarkStart w:id="5" w:name="_Toc23202449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pStyle w:val="Normal"/>
        <w:jc w:val="both"/>
      </w:pPr>
      <w:r>
        <w:rPr>
          <w:szCs w:val="22"/>
          <w:lang w:val="en-US" w:eastAsia="en-US" w:bidi="ar-SA"/>
          <w:rFonts w:ascii="Times New Roman" w:hAnsi="Times New Roman" w:eastAsia="Times New Roman" w:cs="Times New Roman"/>
          <w:sz w:val="24"/>
        </w:rP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pPr>
        <w:pStyle w:val="Heading2"/>
      </w:pPr>
      <w:bookmarkStart w:id="6" w:name="_Toc23202449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1.2 Why the Empty Station Is an Industry Problem, Not a Local Problem</w:t>
      </w:r>
      <w:bookmarkEnd w:id="6"/>
    </w:p>
    <w:p>
      <w:pPr>
        <w:pStyle w:val="Normal"/>
        <w:jc w:val="both"/>
      </w:pPr>
      <w:r>
        <w:rPr>
          <w:szCs w:val="22"/>
          <w:lang w:val="en-US" w:eastAsia="en-US" w:bidi="ar-SA"/>
          <w:rFonts w:ascii="Times New Roman" w:hAnsi="Times New Roman" w:eastAsia="Times New Roman" w:cs="Times New Roman"/>
          <w:sz w:val="24"/>
        </w:rPr>
        <w:t xml:space="preserve">The Guangzhou facility is not anomalous. Across the elderly residential care sector in Hong Kong, Mainland China and several comparable economies, sensor-based health </w:t>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pPr>
        <w:pStyle w:val="Normal"/>
        <w:jc w:val="both"/>
      </w:pPr>
      <w:r>
        <w:rPr>
          <w:szCs w:val="22"/>
          <w:lang w:val="en-US" w:eastAsia="en-US" w:bidi="ar-SA"/>
          <w:rFonts w:ascii="Times New Roman" w:hAnsi="Times New Roman" w:eastAsia="Times New Roman" w:cs="Times New Roman"/>
          <w:sz w:val="24"/>
        </w:rP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pPr>
        <w:pStyle w:val="Heading2"/>
      </w:pPr>
      <w:bookmarkStart w:id="7" w:name="_Toc23202449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t>of acute mental-health conditions. Whatever drives their abandonment is operating within a population that the standard non-use framings do not reach.</w:t>
      </w:r>
    </w:p>
    <w:p>
      <w:pPr>
        <w:pStyle w:val="Heading2"/>
      </w:pPr>
      <w:bookmarkStart w:id="8" w:name="_Toc23202450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pPr>
        <w:pStyle w:val="Heading2"/>
      </w:pPr>
      <w:bookmarkStart w:id="9" w:name="_Toc23202450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t>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pPr>
        <w:pStyle w:val="Heading2"/>
      </w:pPr>
      <w:bookmarkStart w:id="10" w:name="_Toc23202450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denominator for all Stage-1 results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Working tables from the survey period also suggested favourable physical-access and perceived-benefit estimates; because those figures cannot be traced to items in the archived six-item instrument (Appendix A), they are not reported as survey results in this thesis. The survey therefore provides a strong descriptive problem signature, but its wording does not allow every negative first experience to be treated unambiguously as task failure.</w:t>
      </w:r>
    </w:p>
    <w:p>
      <w:pPr>
        <w:pStyle w:val="Normal"/>
        <w:jc w:val="both"/>
      </w:pPr>
      <w:r>
        <w:rPr>
          <w:szCs w:val="22"/>
          <w:lang w:val="en-US" w:eastAsia="en-US" w:bidi="ar-SA"/>
          <w:rFonts w:ascii="Times New Roman" w:hAnsi="Times New Roman" w:eastAsia="Times New Roman" w:cs="Times New Roman"/>
          <w:sz w:val="24"/>
        </w:rPr>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the author's Hong Kong-based networks — work contacts, a charity community network, university support channels and the author's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Stage 3 thereby changed a package of participant-facing clinical cues: no clinical pre-scan was conducted,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a pattern consistent with the theory and the population being sound and with the coupling as the locus of the failure.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theory-consistent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pPr>
        <w:pStyle w:val="Normal"/>
        <w:jc w:val="both"/>
      </w:pPr>
      <w:r>
        <w:rPr>
          <w:szCs w:val="22"/>
          <w:lang w:val="en-US" w:eastAsia="en-US" w:bidi="ar-SA"/>
          <w:rFonts w:ascii="Times New Roman" w:hAnsi="Times New Roman" w:eastAsia="Times New Roman" w:cs="Times New Roman"/>
          <w:sz w:val="24"/>
        </w:rP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pPr>
        <w:pStyle w:val="Normal"/>
        <w:jc w:val="both"/>
      </w:pPr>
      <w:r>
        <w:rPr>
          <w:szCs w:val="22"/>
          <w:lang w:val="en-US" w:eastAsia="en-US" w:bidi="ar-SA"/>
          <w:rFonts w:ascii="Times New Roman" w:hAnsi="Times New Roman" w:eastAsia="Times New Roman" w:cs="Times New Roman"/>
          <w:sz w:val="24"/>
        </w:rP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pPr>
        <w:pStyle w:val="Heading3"/>
      </w:pPr>
      <w:bookmarkStart w:id="27" w:name="_Toc23202452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t>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registered as a question for the confirmatory study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2.3.5 The Null Hypothesis Built From Stages One and Two</w:t>
      </w:r>
    </w:p>
    <w:p>
      <w:pPr>
        <w:pStyle w:val="Normal"/>
      </w:pPr>
      <w:r>
        <w:rPr>
          <w:szCs w:val="22"/>
          <w:lang w:val="en-US" w:eastAsia="en-US" w:bidi="ar-SA"/>
          <w:rFonts w:ascii="Times New Roman" w:hAnsi="Times New Roman" w:eastAsia="Times New Roman" w:cs="Times New Roman"/>
          <w:sz w:val="24"/>
        </w:rP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pPr>
        <w:pStyle w:val="Normal"/>
      </w:pPr>
      <w:r>
        <w:rPr>
          <w:b/>
          <w:szCs w:val="22"/>
          <w:lang w:val="en-US" w:eastAsia="en-US" w:bidi="ar-SA"/>
          <w:rFonts w:ascii="Times New Roman" w:hAnsi="Times New Roman" w:eastAsia="Times New Roman" w:cs="Times New Roman"/>
          <w:sz w:val="24"/>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pPr>
        <w:pStyle w:val="Normal"/>
      </w:pPr>
      <w:r>
        <w:rPr>
          <w:szCs w:val="22"/>
          <w:lang w:val="en-US" w:eastAsia="en-US" w:bidi="ar-SA"/>
          <w:rFonts w:ascii="Times New Roman" w:hAnsi="Times New Roman" w:eastAsia="Times New Roman" w:cs="Times New Roman"/>
          <w:sz w:val="24"/>
        </w:rP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pPr>
        <w:pStyle w:val="Normal"/>
      </w:pPr>
      <w:r>
        <w:rPr>
          <w:szCs w:val="22"/>
          <w:lang w:val="en-US" w:eastAsia="en-US" w:bidi="ar-SA"/>
          <w:rFonts w:ascii="Times New Roman" w:hAnsi="Times New Roman" w:eastAsia="Times New Roman" w:cs="Times New Roman"/>
          <w:sz w:val="24"/>
        </w:rP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pPr>
        <w:pStyle w:val="Heading2"/>
      </w:pPr>
      <w:bookmarkStart w:id="28" w:name="_Toc23202452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2.4 Stage Three: Self-Efficacy as the First Diagnostic Layer</w:t>
      </w:r>
      <w:bookmarkEnd w:id="28"/>
    </w:p>
    <w:p>
      <w:pPr>
        <w:pStyle w:val="Heading3"/>
      </w:pPr>
      <w:bookmarkStart w:id="29" w:name="_Toc232024523"/>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pPr>
        <w:pStyle w:val="Heading3"/>
      </w:pPr>
      <w:bookmarkStart w:id="30" w:name="_Toc232024524"/>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pPr>
        <w:pStyle w:val="Heading3"/>
      </w:pPr>
      <w:bookmarkStart w:id="31" w:name="_Toc23202452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2.4.3 The Fear-and-Failure Cycle</w:t>
      </w:r>
      <w:bookmarkEnd w:id="31"/>
    </w:p>
    <w:p>
      <w:pPr>
        <w:pStyle w:val="Normal"/>
        <w:jc w:val="both"/>
      </w:pPr>
      <w:r>
        <w:rPr>
          <w:szCs w:val="22"/>
          <w:lang w:val="en-US" w:eastAsia="en-US" w:bidi="ar-SA"/>
          <w:rFonts w:ascii="Times New Roman" w:hAnsi="Times New Roman" w:eastAsia="Times New Roman" w:cs="Times New Roman"/>
          <w:sz w:val="24"/>
        </w:rPr>
        <w:t>Tsai et al. (2020) studied older adults' acceptance of a wearable health device through an extended technology-acceptance model and documented the roles of technology anxiety and resistance to change in suppressing engagement. Anxiety about using the technology reduced intended and actual use, and early difficulty further lowered the confidence with which users approached subsequent attempts. The Tsai et al. findings are the closest published precedent for the withdrawal dynamics the present thesis observes in the F4 cluster of Stage 2, although their study is cross-sectional and does not track whether withdrawal becomes permanent.</w:t>
      </w:r>
    </w:p>
    <w:p>
      <w:pPr>
        <w:pStyle w:val="Heading3"/>
      </w:pPr>
      <w:bookmarkStart w:id="32" w:name="_Toc23202452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2.5 Stage Four: Behavioural Science as a Candidate FIAS Account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2.5.1 Why Behavioural Science Is Required</w:t>
      </w:r>
    </w:p>
    <w:p>
      <w:pPr>
        <w:pStyle w:val="Normal"/>
        <w:jc w:val="both"/>
      </w:pPr>
      <w:r>
        <w:rPr>
          <w:szCs w:val="22"/>
          <w:lang w:val="en-US" w:eastAsia="en-US" w:bidi="ar-SA"/>
          <w:rFonts w:ascii="Times New Roman" w:hAnsi="Times New Roman" w:eastAsia="Times New Roman" w:cs="Times New Roman"/>
          <w:sz w:val="24"/>
        </w:rP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FigureCaption"/>
      </w:pPr>
      <w:r>
        <w:rPr>
          <w:sz w:val="22"/>
          <w:szCs w:val="22"/>
          <w:lang w:val="en-US" w:eastAsia="en-US" w:bidi="ar-SA"/>
          <w:rFonts w:ascii="Times New Roman" w:hAnsi="Times New Roman" w:eastAsia="Times New Roman" w:cs="Times New Roman"/>
          <w:i/>
        </w:rP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pStyle w:val="Normal"/>
            </w:pPr>
            <w:r>
              <w:rPr>
                <w:b/>
                <w:sz w:val="20"/>
                <w:szCs w:val="22"/>
                <w:lang w:val="en-US" w:eastAsia="en-US" w:bidi="ar-SA"/>
                <w:rFonts w:ascii="Times New Roman" w:hAnsi="Times New Roman" w:eastAsia="Times New Roman" w:cs="Times New Roman"/>
              </w:rPr>
              <w:t>Observation H0 cannot explain</w:t>
            </w:r>
          </w:p>
        </w:tc>
        <w:tc>
          <w:tcPr>
            <w:tcW w:type="dxa" w:w="2126"/>
          </w:tcPr>
          <w:p>
            <w:pPr>
              <w:pStyle w:val="Normal"/>
            </w:pPr>
            <w:r>
              <w:rPr>
                <w:b/>
                <w:sz w:val="20"/>
                <w:szCs w:val="22"/>
                <w:lang w:val="en-US" w:eastAsia="en-US" w:bidi="ar-SA"/>
                <w:rFonts w:ascii="Times New Roman" w:hAnsi="Times New Roman" w:eastAsia="Times New Roman" w:cs="Times New Roman"/>
              </w:rPr>
              <w:t>Behavioural theory</w:t>
            </w:r>
          </w:p>
        </w:tc>
        <w:tc>
          <w:tcPr>
            <w:tcW w:type="dxa" w:w="2126"/>
          </w:tcPr>
          <w:p>
            <w:pPr>
              <w:pStyle w:val="Normal"/>
            </w:pPr>
            <w:r>
              <w:rPr>
                <w:b/>
                <w:sz w:val="20"/>
                <w:szCs w:val="22"/>
                <w:lang w:val="en-US" w:eastAsia="en-US" w:bidi="ar-SA"/>
                <w:rFonts w:ascii="Times New Roman" w:hAnsi="Times New Roman" w:eastAsia="Times New Roman" w:cs="Times New Roman"/>
              </w:rPr>
              <w:t>Construct contributed to FIAS</w:t>
            </w:r>
          </w:p>
        </w:tc>
        <w:tc>
          <w:tcPr>
            <w:tcW w:type="dxa" w:w="2126"/>
          </w:tcPr>
          <w:p>
            <w:pPr>
              <w:pStyle w:val="Normal"/>
            </w:pPr>
            <w:r>
              <w:rPr>
                <w:b/>
                <w:sz w:val="20"/>
                <w:szCs w:val="22"/>
                <w:lang w:val="en-US" w:eastAsia="en-US" w:bidi="ar-SA"/>
                <w:rFonts w:ascii="Times New Roman" w:hAnsi="Times New Roman" w:eastAsia="Times New Roman" w:cs="Times New Roman"/>
              </w:rPr>
              <w:t>Prediction generated</w:t>
            </w:r>
          </w:p>
        </w:tc>
      </w:tr>
      <w:tr>
        <w:tc>
          <w:tcPr>
            <w:tcW w:type="dxa" w:w="2126"/>
          </w:tcPr>
          <w:p>
            <w:pPr>
              <w:pStyle w:val="Normal"/>
            </w:pPr>
            <w:r>
              <w:rPr>
                <w:sz w:val="20"/>
                <w:szCs w:val="22"/>
                <w:lang w:val="en-US" w:eastAsia="en-US" w:bidi="ar-SA"/>
                <w:rFonts w:ascii="Times New Roman" w:hAnsi="Times New Roman" w:eastAsia="Times New Roman" w:cs="Times New Roman"/>
              </w:rPr>
              <w:t>A single adverse first experience outweighs the design's motivational pull</w:t>
            </w:r>
          </w:p>
        </w:tc>
        <w:tc>
          <w:tcPr>
            <w:tcW w:type="dxa" w:w="2126"/>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26"/>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126"/>
          </w:tcPr>
          <w:p>
            <w:pPr>
              <w:pStyle w:val="Normal"/>
            </w:pPr>
            <w:r>
              <w:rPr>
                <w:sz w:val="20"/>
                <w:szCs w:val="22"/>
                <w:lang w:val="en-US" w:eastAsia="en-US" w:bidi="ar-SA"/>
                <w:rFonts w:ascii="Times New Roman" w:hAnsi="Times New Roman" w:eastAsia="Times New Roman" w:cs="Times New Roman"/>
              </w:rPr>
              <w:t>First failure is associated with early disengagement (H1, Chapter 5)</w:t>
            </w:r>
          </w:p>
        </w:tc>
      </w:tr>
      <w:tr>
        <w:tc>
          <w:tcPr>
            <w:tcW w:type="dxa" w:w="2126"/>
          </w:tcPr>
          <w:p>
            <w:pPr>
              <w:pStyle w:val="Normal"/>
            </w:pPr>
            <w:r>
              <w:rPr>
                <w:sz w:val="20"/>
                <w:szCs w:val="22"/>
                <w:lang w:val="en-US" w:eastAsia="en-US" w:bidi="ar-SA"/>
                <w:rFonts w:ascii="Times New Roman" w:hAnsi="Times New Roman" w:eastAsia="Times New Roman" w:cs="Times New Roman"/>
              </w:rPr>
              <w:t>Exit persists even when the recorded score improves</w:t>
            </w:r>
          </w:p>
        </w:tc>
        <w:tc>
          <w:tcPr>
            <w:tcW w:type="dxa" w:w="2126"/>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26"/>
          </w:tcPr>
          <w:p>
            <w:pPr>
              <w:pStyle w:val="Normal"/>
            </w:pPr>
            <w:r>
              <w:rPr>
                <w:sz w:val="20"/>
                <w:szCs w:val="22"/>
                <w:lang w:val="en-US" w:eastAsia="en-US" w:bidi="ar-SA"/>
                <w:rFonts w:ascii="Times New Roman" w:hAnsi="Times New Roman" w:eastAsia="Times New Roman" w:cs="Times New Roman"/>
              </w:rPr>
              <w:t>Identity-relevant endowment: exit protects a valued self-description from revaluation</w:t>
            </w:r>
          </w:p>
        </w:tc>
        <w:tc>
          <w:tcPr>
            <w:tcW w:type="dxa" w:w="2126"/>
          </w:tcPr>
          <w:p>
            <w:pPr>
              <w:pStyle w:val="Normal"/>
            </w:pPr>
            <w:r>
              <w:rPr>
                <w:sz w:val="20"/>
                <w:szCs w:val="22"/>
                <w:lang w:val="en-US" w:eastAsia="en-US" w:bidi="ar-SA"/>
                <w:rFonts w:ascii="Times New Roman" w:hAnsi="Times New Roman" w:eastAsia="Times New Roman" w:cs="Times New Roman"/>
              </w:rPr>
              <w:t>Objective improvement does not by itself produce return (H4 — the improvement/non-return paradox)</w:t>
            </w:r>
          </w:p>
        </w:tc>
      </w:tr>
      <w:tr>
        <w:tc>
          <w:tcPr>
            <w:tcW w:type="dxa" w:w="2126"/>
          </w:tcPr>
          <w:p>
            <w:pPr>
              <w:pStyle w:val="Normal"/>
            </w:pPr>
            <w:r>
              <w:rPr>
                <w:sz w:val="20"/>
                <w:szCs w:val="22"/>
                <w:lang w:val="en-US" w:eastAsia="en-US" w:bidi="ar-SA"/>
                <w:rFonts w:ascii="Times New Roman" w:hAnsi="Times New Roman" w:eastAsia="Times New Roman" w:cs="Times New Roman"/>
              </w:rPr>
              <w:t>The same event means different things under different frames</w:t>
            </w:r>
          </w:p>
        </w:tc>
        <w:tc>
          <w:tcPr>
            <w:tcW w:type="dxa" w:w="2126"/>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26"/>
          </w:tcPr>
          <w:p>
            <w:pPr>
              <w:pStyle w:val="Normal"/>
            </w:pPr>
            <w:r>
              <w:rPr>
                <w:sz w:val="20"/>
                <w:szCs w:val="22"/>
                <w:lang w:val="en-US" w:eastAsia="en-US" w:bidi="ar-SA"/>
                <w:rFonts w:ascii="Times New Roman" w:hAnsi="Times New Roman" w:eastAsia="Times New Roman" w:cs="Times New Roman"/>
              </w:rPr>
              <w:t>Clinical framing sorts the session into a high-stakes health account</w:t>
            </w:r>
          </w:p>
        </w:tc>
        <w:tc>
          <w:tcPr>
            <w:tcW w:type="dxa" w:w="2126"/>
          </w:tcPr>
          <w:p>
            <w:pPr>
              <w:pStyle w:val="Normal"/>
            </w:pPr>
            <w:r>
              <w:rPr>
                <w:sz w:val="20"/>
                <w:szCs w:val="22"/>
                <w:lang w:val="en-US" w:eastAsia="en-US" w:bidi="ar-SA"/>
                <w:rFonts w:ascii="Times New Roman" w:hAnsi="Times New Roman" w:eastAsia="Times New Roman" w:cs="Times New Roman"/>
              </w:rPr>
              <w:t>Removing participant-facing clinical framing increases post-failure return (H5, Stage 3)</w:t>
            </w:r>
          </w:p>
        </w:tc>
      </w:tr>
      <w:tr>
        <w:tc>
          <w:tcPr>
            <w:tcW w:type="dxa" w:w="2126"/>
          </w:tcPr>
          <w:p>
            <w:pPr>
              <w:pStyle w:val="Normal"/>
            </w:pPr>
            <w:r>
              <w:rPr>
                <w:sz w:val="20"/>
                <w:szCs w:val="22"/>
                <w:lang w:val="en-US" w:eastAsia="en-US" w:bidi="ar-SA"/>
                <w:rFonts w:ascii="Times New Roman" w:hAnsi="Times New Roman" w:eastAsia="Times New Roman" w:cs="Times New Roman"/>
              </w:rPr>
              <w:t>Clinical and age-related cues amplify the meaning of failure</w:t>
            </w:r>
          </w:p>
        </w:tc>
        <w:tc>
          <w:tcPr>
            <w:tcW w:type="dxa" w:w="2126"/>
          </w:tcPr>
          <w:p>
            <w:pPr>
              <w:pStyle w:val="Normal"/>
            </w:pPr>
            <w:r>
              <w:rPr>
                <w:sz w:val="20"/>
                <w:szCs w:val="22"/>
                <w:lang w:val="en-US" w:eastAsia="en-US" w:bidi="ar-SA"/>
                <w:rFonts w:ascii="Times New Roman" w:hAnsi="Times New Roman" w:eastAsia="Times New Roman" w:cs="Times New Roman"/>
              </w:rPr>
              <w:t>Stereotype threat (Steele &amp; Aronson, 1995; Levy et al., 2002)</w:t>
            </w:r>
          </w:p>
        </w:tc>
        <w:tc>
          <w:tcPr>
            <w:tcW w:type="dxa" w:w="2126"/>
          </w:tcPr>
          <w:p>
            <w:pPr>
              <w:pStyle w:val="Normal"/>
            </w:pPr>
            <w:r>
              <w:rPr>
                <w:sz w:val="20"/>
                <w:szCs w:val="22"/>
                <w:lang w:val="en-US" w:eastAsia="en-US" w:bidi="ar-SA"/>
                <w:rFonts w:ascii="Times New Roman" w:hAnsi="Times New Roman" w:eastAsia="Times New Roman" w:cs="Times New Roman"/>
              </w:rPr>
              <w:t>Salience of age-related decline as the trigger of identity-relevant appraisal</w:t>
            </w:r>
          </w:p>
        </w:tc>
        <w:tc>
          <w:tcPr>
            <w:tcW w:type="dxa" w:w="2126"/>
          </w:tcPr>
          <w:p>
            <w:pPr>
              <w:pStyle w:val="Normal"/>
            </w:pPr>
            <w:r>
              <w:rPr>
                <w:sz w:val="20"/>
                <w:szCs w:val="22"/>
                <w:lang w:val="en-US" w:eastAsia="en-US" w:bidi="ar-SA"/>
                <w:rFonts w:ascii="Times New Roman" w:hAnsi="Times New Roman" w:eastAsia="Times New Roman" w:cs="Times New Roman"/>
              </w:rPr>
              <w:t>Threat-reduced framing and coaching improve retry and return (the adaptive-learning framework, Chapter 7)</w:t>
            </w:r>
          </w:p>
        </w:tc>
      </w:tr>
      <w:tr>
        <w:tc>
          <w:tcPr>
            <w:tcW w:type="dxa" w:w="2126"/>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2126"/>
          </w:tcPr>
          <w:p>
            <w:pPr>
              <w:pStyle w:val="Normal"/>
            </w:pPr>
            <w:r>
              <w:rPr>
                <w:sz w:val="20"/>
                <w:szCs w:val="22"/>
                <w:lang w:val="en-US" w:eastAsia="en-US" w:bidi="ar-SA"/>
                <w:rFonts w:ascii="Times New Roman" w:hAnsi="Times New Roman" w:eastAsia="Times New Roman" w:cs="Times New Roman"/>
              </w:rPr>
              <w:t>Octalysis D8 inverted: zero-failure design (§2.6.2C, from this research's observations)</w:t>
            </w:r>
          </w:p>
        </w:tc>
        <w:tc>
          <w:tcPr>
            <w:tcW w:type="dxa" w:w="2126"/>
          </w:tcPr>
          <w:p>
            <w:pPr>
              <w:pStyle w:val="Normal"/>
            </w:pPr>
            <w:r>
              <w:rPr>
                <w:sz w:val="20"/>
                <w:szCs w:val="22"/>
                <w:lang w:val="en-US" w:eastAsia="en-US" w:bidi="ar-SA"/>
                <w:rFonts w:ascii="Times New Roman" w:hAnsi="Times New Roman" w:eastAsia="Times New Roman" w:cs="Times New Roman"/>
              </w:rPr>
              <w:t>The operative loss is identity-level, outside the game's ledger; verdict cues, not in-game losses, carry it</w:t>
            </w:r>
          </w:p>
        </w:tc>
        <w:tc>
          <w:tcPr>
            <w:tcW w:type="dxa" w:w="2126"/>
          </w:tcPr>
          <w:p>
            <w:pPr>
              <w:pStyle w:val="Normal"/>
            </w:pPr>
            <w:r>
              <w:rPr>
                <w:sz w:val="20"/>
                <w:szCs w:val="22"/>
                <w:lang w:val="en-US" w:eastAsia="en-US" w:bidi="ar-SA"/>
                <w:rFonts w:ascii="Times New Roman" w:hAnsi="Times New Roman" w:eastAsia="Times New Roman" w:cs="Times New Roman"/>
              </w:rPr>
              <w:t>Removing terminal failure verdicts (zero-failure states, §5.3.10) plus decoupling increases retry and return (the adaptive-learning framework, Chapter 7; isolated test in §8.8)</w:t>
            </w:r>
          </w:p>
        </w:tc>
      </w:tr>
    </w:tbl>
    <w:p>
      <w:pPr>
        <w:pStyle w:val="Heading3"/>
      </w:pPr>
      <w:bookmarkStart w:id="33" w:name="_Toc232024529"/>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2.5.6 A Four-Layer Behavioural Integration Proposed for FIAS</w:t>
      </w:r>
    </w:p>
    <w:p>
      <w:pPr>
        <w:pStyle w:val="Normal"/>
        <w:jc w:val="both"/>
      </w:pPr>
      <w:r>
        <w:rPr>
          <w:szCs w:val="22"/>
          <w:lang w:val="en-US" w:eastAsia="en-US" w:bidi="ar-SA"/>
          <w:rFonts w:ascii="Times New Roman" w:hAnsi="Times New Roman" w:eastAsia="Times New Roman" w:cs="Times New Roman"/>
          <w:sz w:val="24"/>
        </w:rP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2.6 Stage Five: Positioning Decoupled Gameplay and Adaptive Learning as Design Responses</w:t>
      </w:r>
    </w:p>
    <w:p>
      <w:pPr>
        <w:pStyle w:val="Heading3"/>
      </w:pPr>
      <w:bookmarkStart w:id="37" w:name="_Toc23202453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pPr>
        <w:pStyle w:val="Heading3"/>
      </w:pPr>
      <w:bookmarkStart w:id="39" w:name="_Toc232024537"/>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pPr>
        <w:pStyle w:val="Normal"/>
        <w:jc w:val="both"/>
      </w:pPr>
      <w:r>
        <w:rPr>
          <w:szCs w:val="22"/>
          <w:lang w:val="en-US" w:eastAsia="en-US" w:bidi="ar-SA"/>
          <w:rFonts w:ascii="Times New Roman" w:hAnsi="Times New Roman" w:eastAsia="Times New Roman" w:cs="Times New Roman"/>
          <w:sz w:val="24"/>
        </w:rP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2.6.2C Zero-Failure Design: A Research-Generated Concept That Inverts Octalysis D8</w:t>
      </w:r>
    </w:p>
    <w:p>
      <w:pPr>
        <w:pStyle w:val="Normal"/>
      </w:pPr>
      <w:r>
        <w:rPr>
          <w:szCs w:val="22"/>
          <w:lang w:val="en-US" w:eastAsia="en-US" w:bidi="ar-SA"/>
          <w:rFonts w:ascii="Times New Roman" w:hAnsi="Times New Roman" w:eastAsia="Times New Roman" w:cs="Times New Roman"/>
          <w:sz w:val="24"/>
        </w:rP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pPr>
        <w:pStyle w:val="Normal"/>
      </w:pPr>
      <w:r>
        <w:rPr>
          <w:szCs w:val="22"/>
          <w:lang w:val="en-US" w:eastAsia="en-US" w:bidi="ar-SA"/>
          <w:rFonts w:ascii="Times New Roman" w:hAnsi="Times New Roman" w:eastAsia="Times New Roman" w:cs="Times New Roman"/>
          <w:sz w:val="24"/>
        </w:rP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pPr>
        <w:pStyle w:val="Normal"/>
      </w:pPr>
      <w:r>
        <w:rPr>
          <w:szCs w:val="26"/>
          <w:lang w:val="en-US" w:eastAsia="en-US" w:bidi="ar-SA"/>
          <w:rFonts w:ascii="Times New Roman" w:hAnsi="Times New Roman" w:eastAsia="Times New Roman" w:cs="Times New Roman"/>
          <w:sz w:val="28"/>
          <w:b/>
        </w:rP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8"/>
          <w:b/>
        </w:rP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8"/>
          <w:b/>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8"/>
          <w:b/>
        </w:rP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pPr>
        <w:pStyle w:val="Heading2"/>
      </w:pPr>
      <w:bookmarkStart w:id="40" w:name="_Toc2320245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2.7 Supporting Evidence and Adjacent Frameworks</w:t>
      </w:r>
      <w:bookmarkEnd w:id="40"/>
    </w:p>
    <w:p>
      <w:pPr>
        <w:pStyle w:val="Heading3"/>
      </w:pPr>
      <w:bookmarkStart w:id="41" w:name="_Toc232024541"/>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8"/>
          <w:b/>
        </w:rPr>
        <w:t>Koivisto and Malik (2021) reviewed the gamification-for-older-adults literature systematically across twelve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pPr>
        <w:pStyle w:val="Normal"/>
        <w:jc w:val="both"/>
      </w:pPr>
      <w:r>
        <w:rPr>
          <w:szCs w:val="26"/>
          <w:lang w:val="en-US" w:eastAsia="en-US" w:bidi="ar-SA"/>
          <w:rFonts w:ascii="Times New Roman" w:hAnsi="Times New Roman" w:eastAsia="Times New Roman" w:cs="Times New Roman"/>
          <w:sz w:val="28"/>
          <w:b/>
        </w:rP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pPr>
        <w:pStyle w:val="Heading3"/>
      </w:pPr>
      <w:bookmarkStart w:id="42" w:name="_Toc232024542"/>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2.7.2 The NASSS Framework: Documented Abandonment Without a Mechanism</w:t>
      </w:r>
      <w:bookmarkEnd w:id="42"/>
    </w:p>
    <w:p>
      <w:pPr>
        <w:pStyle w:val="Normal"/>
        <w:jc w:val="both"/>
      </w:pPr>
      <w:r>
        <w:rPr>
          <w:szCs w:val="26"/>
          <w:lang w:val="en-US" w:eastAsia="en-US" w:bidi="ar-SA"/>
          <w:rFonts w:ascii="Times New Roman" w:hAnsi="Times New Roman" w:eastAsia="Times New Roman" w:cs="Times New Roman"/>
          <w:sz w:val="28"/>
          <w:b/>
        </w:rP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pPr>
        <w:pStyle w:val="Heading3"/>
      </w:pPr>
      <w:bookmarkStart w:id="43" w:name="_Toc232024543"/>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8"/>
          <w:b/>
        </w:rP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pPr>
        <w:pStyle w:val="Heading3"/>
      </w:pPr>
      <w:bookmarkStart w:id="44" w:name="_Toc232024544"/>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8"/>
          <w:b/>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pStyle w:val="Heading2"/>
      </w:pPr>
      <w:bookmarkStart w:id="45" w:name="_Toc23202454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8"/>
          <w:b/>
        </w:rP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pPr>
        <w:pStyle w:val="Normal"/>
        <w:jc w:val="both"/>
      </w:pPr>
      <w:r>
        <w:rPr>
          <w:szCs w:val="26"/>
          <w:lang w:val="en-US" w:eastAsia="en-US" w:bidi="ar-SA"/>
          <w:rFonts w:ascii="Times New Roman" w:hAnsi="Times New Roman" w:eastAsia="Times New Roman" w:cs="Times New Roman"/>
          <w:sz w:val="28"/>
          <w:b/>
        </w:rPr>
        <w:t>No single stage carries the argument alone. The intellectual contribution is the chain itself: a null hypothesis honestly built from the best available models, an empirical rejection unlikely to be attributable to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pPr>
        <w:pStyle w:val="Normal"/>
        <w:spacing w:after="200" w:line="276"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3 Research Methodology</w:t>
      </w:r>
      <w:bookmarkEnd w:id="46"/>
    </w:p>
    <w:p>
      <w:pPr>
        <w:pStyle w:val="Heading2"/>
      </w:pPr>
      <w:bookmarkStart w:id="47" w:name="_Toc2320245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8"/>
          <w:b/>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pPr>
        <w:pStyle w:val="Heading2"/>
      </w:pPr>
      <w:bookmarkStart w:id="48" w:name="_Toc232024548"/>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8"/>
          <w:b/>
        </w:rP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pPr>
        <w:pStyle w:val="Normal"/>
        <w:jc w:val="both"/>
      </w:pPr>
      <w:r>
        <w:rPr>
          <w:szCs w:val="26"/>
          <w:lang w:val="en-US" w:eastAsia="en-US" w:bidi="ar-SA"/>
          <w:rFonts w:ascii="Times New Roman" w:hAnsi="Times New Roman" w:eastAsia="Times New Roman" w:cs="Times New Roman"/>
          <w:sz w:val="28"/>
          <w:b/>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8"/>
          <w:b/>
        </w:rPr>
        <w:t>Stage 3 was a between-cycle, between-cohort quasi-experimental field study with 120 adults aged 25-80 recruited through the author's Hong Kong-based networks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Normal"/>
      </w:pPr>
      <w:r>
        <w:rPr>
          <w:szCs w:val="26"/>
          <w:lang w:val="en-US" w:eastAsia="en-US" w:bidi="ar-SA"/>
          <w:rFonts w:ascii="Times New Roman" w:hAnsi="Times New Roman" w:eastAsia="Times New Roman" w:cs="Times New Roman"/>
          <w:sz w:val="28"/>
          <w:b/>
        </w:rPr>
        <w:t>A fourth evidence activity supplements the three stages. After the Stage-3 analysis, a single expert consultation interview was conducted with Dr Sarah C.W. Yuan (Center on the Family, University of Hawai'i at Mānoa), a medical sociologist and demographer of aging whose field of practice is community group falls-prevention programming. The purpose was to test the programme's behavioural interpretation against an independent discipline and an independent field of practice — non-electronic group exercise and physical games for balance — in which none of this programme's apparatus is used. The consultation informs interpretation and design (§6.8A, §7.5.3) and is not treated as participant data; the record and its attribution basis are given in Appendix H.</w:t>
      </w:r>
    </w:p>
    <w:p>
      <w:pPr>
        <w:pStyle w:val="FigureCaption"/>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pStyle w:val="Normal"/>
            </w:pPr>
            <w:r>
              <w:rPr>
                <w:b/>
                <w:sz w:val="32"/>
                <w:szCs w:val="28"/>
                <w:lang w:val="en-US" w:eastAsia="en-US" w:bidi="ar-SA"/>
                <w:rFonts w:ascii="Times New Roman" w:hAnsi="Times New Roman" w:eastAsia="Times New Roman" w:cs="Times New Roman"/>
              </w:rPr>
              <w:t>Claim</w:t>
            </w:r>
          </w:p>
        </w:tc>
        <w:tc>
          <w:tcPr>
            <w:tcW w:type="dxa" w:w="1701"/>
          </w:tcPr>
          <w:p>
            <w:pPr>
              <w:pStyle w:val="Normal"/>
            </w:pPr>
            <w:r>
              <w:rPr>
                <w:b/>
                <w:sz w:val="32"/>
                <w:szCs w:val="28"/>
                <w:lang w:val="en-US" w:eastAsia="en-US" w:bidi="ar-SA"/>
                <w:rFonts w:ascii="Times New Roman" w:hAnsi="Times New Roman" w:eastAsia="Times New Roman" w:cs="Times New Roman"/>
              </w:rPr>
              <w:t>Origin</w:t>
            </w:r>
          </w:p>
        </w:tc>
        <w:tc>
          <w:tcPr>
            <w:tcW w:type="dxa" w:w="1701"/>
          </w:tcPr>
          <w:p>
            <w:pPr>
              <w:pStyle w:val="Normal"/>
            </w:pPr>
            <w:r>
              <w:rPr>
                <w:b/>
                <w:sz w:val="32"/>
                <w:szCs w:val="28"/>
                <w:lang w:val="en-US" w:eastAsia="en-US" w:bidi="ar-SA"/>
                <w:rFonts w:ascii="Times New Roman" w:hAnsi="Times New Roman" w:eastAsia="Times New Roman" w:cs="Times New Roman"/>
              </w:rPr>
              <w:t>Stated</w:t>
            </w:r>
          </w:p>
        </w:tc>
        <w:tc>
          <w:tcPr>
            <w:tcW w:type="dxa" w:w="1701"/>
          </w:tcPr>
          <w:p>
            <w:pPr>
              <w:pStyle w:val="Normal"/>
            </w:pPr>
            <w:r>
              <w:rPr>
                <w:b/>
                <w:sz w:val="32"/>
                <w:szCs w:val="28"/>
                <w:lang w:val="en-US" w:eastAsia="en-US" w:bidi="ar-SA"/>
                <w:rFonts w:ascii="Times New Roman" w:hAnsi="Times New Roman" w:eastAsia="Times New Roman" w:cs="Times New Roman"/>
              </w:rPr>
              <w:t>Tested / examined</w:t>
            </w:r>
          </w:p>
        </w:tc>
        <w:tc>
          <w:tcPr>
            <w:tcW w:type="dxa" w:w="1701"/>
          </w:tcPr>
          <w:p>
            <w:pPr>
              <w:pStyle w:val="Normal"/>
            </w:pPr>
            <w:r>
              <w:rPr>
                <w:b/>
                <w:sz w:val="32"/>
                <w:szCs w:val="28"/>
                <w:lang w:val="en-US" w:eastAsia="en-US" w:bidi="ar-SA"/>
                <w:rFonts w:ascii="Times New Roman" w:hAnsi="Times New Roman" w:eastAsia="Times New Roman" w:cs="Times New Roman"/>
              </w:rPr>
              <w:t>Status in this thesis</w:t>
            </w:r>
          </w:p>
        </w:tc>
      </w:tr>
      <w:tr>
        <w:tc>
          <w:tcPr>
            <w:tcW w:type="dxa" w:w="1701"/>
          </w:tcPr>
          <w:p>
            <w:pPr>
              <w:pStyle w:val="Normal"/>
            </w:pPr>
            <w:r>
              <w:rPr>
                <w:sz w:val="24"/>
                <w:szCs w:val="22"/>
                <w:lang w:val="en-US" w:eastAsia="en-US" w:bidi="ar-SA"/>
                <w:rFonts w:ascii="Times New Roman" w:hAnsi="Times New Roman" w:eastAsia="Times New Roman" w:cs="Times New Roman"/>
                <w:b/>
              </w:rPr>
              <w:t>H0 — gamified FRA satisfying TAM/STAM + Octalysis sustains elderly acceptance; failure does not produce abandonment</w:t>
            </w:r>
          </w:p>
        </w:tc>
        <w:tc>
          <w:tcPr>
            <w:tcW w:type="dxa" w:w="1701"/>
          </w:tcPr>
          <w:p>
            <w:pPr>
              <w:pStyle w:val="Normal"/>
            </w:pPr>
            <w:r>
              <w:rPr>
                <w:sz w:val="24"/>
                <w:szCs w:val="22"/>
                <w:lang w:val="en-US" w:eastAsia="en-US" w:bidi="ar-SA"/>
                <w:rFonts w:ascii="Times New Roman" w:hAnsi="Times New Roman" w:eastAsia="Times New Roman" w:cs="Times New Roman"/>
                <w:b/>
              </w:rPr>
              <w:t>Literature (acceptance + gamification)</w:t>
            </w:r>
          </w:p>
        </w:tc>
        <w:tc>
          <w:tcPr>
            <w:tcW w:type="dxa" w:w="1701"/>
          </w:tcPr>
          <w:p>
            <w:pPr>
              <w:pStyle w:val="Normal"/>
            </w:pPr>
            <w:r>
              <w:rPr>
                <w:sz w:val="24"/>
                <w:szCs w:val="22"/>
                <w:lang w:val="en-US" w:eastAsia="en-US" w:bidi="ar-SA"/>
                <w:rFonts w:ascii="Times New Roman" w:hAnsi="Times New Roman" w:eastAsia="Times New Roman" w:cs="Times New Roman"/>
                <w:b/>
              </w:rPr>
              <w:t>§2.3.5; §5.1</w:t>
            </w:r>
          </w:p>
        </w:tc>
        <w:tc>
          <w:tcPr>
            <w:tcW w:type="dxa" w:w="1701"/>
          </w:tcPr>
          <w:p>
            <w:pPr>
              <w:pStyle w:val="Normal"/>
            </w:pPr>
            <w:r>
              <w:rPr>
                <w:sz w:val="24"/>
                <w:szCs w:val="22"/>
                <w:lang w:val="en-US" w:eastAsia="en-US" w:bidi="ar-SA"/>
                <w:rFonts w:ascii="Times New Roman" w:hAnsi="Times New Roman" w:eastAsia="Times New Roman" w:cs="Times New Roman"/>
                <w:b/>
              </w:rPr>
              <w:t>Stage 1 retrospectively (Ch 4); Stage 2 prospectively (Ch 5)</w:t>
            </w:r>
          </w:p>
        </w:tc>
        <w:tc>
          <w:tcPr>
            <w:tcW w:type="dxa" w:w="1701"/>
          </w:tcPr>
          <w:p>
            <w:pPr>
              <w:pStyle w:val="Normal"/>
            </w:pPr>
            <w:r>
              <w:rPr>
                <w:sz w:val="24"/>
                <w:szCs w:val="22"/>
                <w:lang w:val="en-US" w:eastAsia="en-US" w:bidi="ar-SA"/>
                <w:rFonts w:ascii="Times New Roman" w:hAnsi="Times New Roman" w:eastAsia="Times New Roman" w:cs="Times New Roman"/>
                <w:b/>
              </w:rPr>
              <w:t>Rejected</w:t>
            </w:r>
          </w:p>
        </w:tc>
      </w:tr>
      <w:tr>
        <w:tc>
          <w:tcPr>
            <w:tcW w:type="dxa" w:w="1701"/>
          </w:tcPr>
          <w:p>
            <w:pPr>
              <w:pStyle w:val="Normal"/>
            </w:pPr>
            <w:r>
              <w:rPr>
                <w:sz w:val="24"/>
                <w:szCs w:val="22"/>
                <w:lang w:val="en-US" w:eastAsia="en-US" w:bidi="ar-SA"/>
                <w:rFonts w:ascii="Times New Roman" w:hAnsi="Times New Roman" w:eastAsia="Times New Roman" w:cs="Times New Roman"/>
                <w:b/>
              </w:rPr>
              <w:t>H1, H2 and H4 — directional hypotheses on first failure, re-engagement and the improvement/non-return paradox</w:t>
            </w:r>
          </w:p>
        </w:tc>
        <w:tc>
          <w:tcPr>
            <w:tcW w:type="dxa" w:w="1701"/>
          </w:tcPr>
          <w:p>
            <w:pPr>
              <w:pStyle w:val="Normal"/>
            </w:pPr>
            <w:r>
              <w:rPr>
                <w:sz w:val="24"/>
                <w:szCs w:val="22"/>
                <w:lang w:val="en-US" w:eastAsia="en-US" w:bidi="ar-SA"/>
                <w:rFonts w:ascii="Times New Roman" w:hAnsi="Times New Roman" w:eastAsia="Times New Roman" w:cs="Times New Roman"/>
                <w:b/>
              </w:rPr>
              <w:t>Stage-1 observations</w:t>
            </w:r>
          </w:p>
        </w:tc>
        <w:tc>
          <w:tcPr>
            <w:tcW w:type="dxa" w:w="1701"/>
          </w:tcPr>
          <w:p>
            <w:pPr>
              <w:pStyle w:val="Normal"/>
            </w:pPr>
            <w:r>
              <w:rPr>
                <w:sz w:val="24"/>
                <w:szCs w:val="22"/>
                <w:lang w:val="en-US" w:eastAsia="en-US" w:bidi="ar-SA"/>
                <w:rFonts w:ascii="Times New Roman" w:hAnsi="Times New Roman" w:eastAsia="Times New Roman" w:cs="Times New Roman"/>
                <w:b/>
              </w:rPr>
              <w:t>§5.1</w:t>
            </w:r>
          </w:p>
        </w:tc>
        <w:tc>
          <w:tcPr>
            <w:tcW w:type="dxa" w:w="1701"/>
          </w:tcPr>
          <w:p>
            <w:pPr>
              <w:pStyle w:val="Normal"/>
            </w:pPr>
            <w:r>
              <w:rPr>
                <w:sz w:val="24"/>
                <w:szCs w:val="22"/>
                <w:lang w:val="en-US" w:eastAsia="en-US" w:bidi="ar-SA"/>
                <w:rFonts w:ascii="Times New Roman" w:hAnsi="Times New Roman" w:eastAsia="Times New Roman" w:cs="Times New Roman"/>
                <w:b/>
              </w:rPr>
              <w:t>Stage 2 (Ch 5)</w:t>
            </w:r>
          </w:p>
        </w:tc>
        <w:tc>
          <w:tcPr>
            <w:tcW w:type="dxa" w:w="1701"/>
          </w:tcPr>
          <w:p>
            <w:pPr>
              <w:pStyle w:val="Normal"/>
            </w:pPr>
            <w:r>
              <w:rPr>
                <w:sz w:val="24"/>
                <w:szCs w:val="22"/>
                <w:lang w:val="en-US" w:eastAsia="en-US" w:bidi="ar-SA"/>
                <w:rFonts w:ascii="Times New Roman" w:hAnsi="Times New Roman" w:eastAsia="Times New Roman" w:cs="Times New Roman"/>
                <w:b/>
              </w:rPr>
              <w:t>Directionally supported within a small single-site sample</w:t>
            </w:r>
          </w:p>
        </w:tc>
      </w:tr>
      <w:tr>
        <w:tc>
          <w:tcPr>
            <w:tcW w:type="dxa" w:w="1701"/>
          </w:tcPr>
          <w:p>
            <w:pPr>
              <w:pStyle w:val="Normal"/>
            </w:pPr>
            <w:r>
              <w:rPr>
                <w:sz w:val="24"/>
                <w:szCs w:val="22"/>
                <w:lang w:val="en-US" w:eastAsia="en-US" w:bidi="ar-SA"/>
                <w:rFonts w:ascii="Times New Roman" w:hAnsi="Times New Roman" w:eastAsia="Times New Roman" w:cs="Times New Roman"/>
                <w:b/>
              </w:rPr>
              <w:t>H5 and the Stage-3 predictions — decoupling is associated with lower non-return and post-failure return</w:t>
            </w:r>
          </w:p>
        </w:tc>
        <w:tc>
          <w:tcPr>
            <w:tcW w:type="dxa" w:w="1701"/>
          </w:tcPr>
          <w:p>
            <w:pPr>
              <w:pStyle w:val="Normal"/>
            </w:pPr>
            <w:r>
              <w:rPr>
                <w:sz w:val="24"/>
                <w:szCs w:val="22"/>
                <w:lang w:val="en-US" w:eastAsia="en-US" w:bidi="ar-SA"/>
                <w:rFonts w:ascii="Times New Roman" w:hAnsi="Times New Roman" w:eastAsia="Times New Roman" w:cs="Times New Roman"/>
                <w:b/>
              </w:rPr>
              <w:t>Stage-2 findings (mental-accounting row of Table 2.1)</w:t>
            </w:r>
          </w:p>
        </w:tc>
        <w:tc>
          <w:tcPr>
            <w:tcW w:type="dxa" w:w="1701"/>
          </w:tcPr>
          <w:p>
            <w:pPr>
              <w:pStyle w:val="Normal"/>
            </w:pPr>
            <w:r>
              <w:rPr>
                <w:sz w:val="24"/>
                <w:szCs w:val="22"/>
                <w:lang w:val="en-US" w:eastAsia="en-US" w:bidi="ar-SA"/>
                <w:rFonts w:ascii="Times New Roman" w:hAnsi="Times New Roman" w:eastAsia="Times New Roman" w:cs="Times New Roman"/>
                <w:b/>
              </w:rPr>
              <w:t>§5.1; §6.2</w:t>
            </w:r>
          </w:p>
        </w:tc>
        <w:tc>
          <w:tcPr>
            <w:tcW w:type="dxa" w:w="1701"/>
          </w:tcPr>
          <w:p>
            <w:pPr>
              <w:pStyle w:val="Normal"/>
            </w:pPr>
            <w:r>
              <w:rPr>
                <w:sz w:val="24"/>
                <w:szCs w:val="22"/>
                <w:lang w:val="en-US" w:eastAsia="en-US" w:bidi="ar-SA"/>
                <w:rFonts w:ascii="Times New Roman" w:hAnsi="Times New Roman" w:eastAsia="Times New Roman" w:cs="Times New Roman"/>
                <w:b/>
              </w:rPr>
              <w:t>Stage 3 (Ch 6)</w:t>
            </w:r>
          </w:p>
        </w:tc>
        <w:tc>
          <w:tcPr>
            <w:tcW w:type="dxa" w:w="1701"/>
          </w:tcPr>
          <w:p>
            <w:pPr>
              <w:pStyle w:val="Normal"/>
            </w:pPr>
            <w:r>
              <w:rPr>
                <w:sz w:val="24"/>
                <w:szCs w:val="22"/>
                <w:lang w:val="en-US" w:eastAsia="en-US" w:bidi="ar-SA"/>
                <w:rFonts w:ascii="Times New Roman" w:hAnsi="Times New Roman" w:eastAsia="Times New Roman" w:cs="Times New Roman"/>
                <w:b/>
              </w:rPr>
              <w:t>Supported as association; attribution bounded by the between-cohort design</w:t>
            </w:r>
          </w:p>
        </w:tc>
      </w:tr>
      <w:tr>
        <w:tc>
          <w:tcPr>
            <w:tcW w:type="dxa" w:w="1701"/>
          </w:tcPr>
          <w:p>
            <w:pPr>
              <w:pStyle w:val="Normal"/>
            </w:pPr>
            <w:r>
              <w:rPr>
                <w:sz w:val="24"/>
                <w:szCs w:val="22"/>
                <w:lang w:val="en-US" w:eastAsia="en-US" w:bidi="ar-SA"/>
                <w:rFonts w:ascii="Times New Roman" w:hAnsi="Times New Roman" w:eastAsia="Times New Roman" w:cs="Times New Roman"/>
                <w:b/>
              </w:rPr>
              <w:t>Adaptive-learning proposition — individual-level continuous improvement as the behavioural-change driver that can re-attach clinical purpose</w:t>
            </w:r>
          </w:p>
        </w:tc>
        <w:tc>
          <w:tcPr>
            <w:tcW w:type="dxa" w:w="1701"/>
          </w:tcPr>
          <w:p>
            <w:pPr>
              <w:pStyle w:val="Normal"/>
            </w:pPr>
            <w:r>
              <w:rPr>
                <w:sz w:val="24"/>
                <w:szCs w:val="22"/>
                <w:lang w:val="en-US" w:eastAsia="en-US" w:bidi="ar-SA"/>
                <w:rFonts w:ascii="Times New Roman" w:hAnsi="Times New Roman" w:eastAsia="Times New Roman" w:cs="Times New Roman"/>
                <w:b/>
              </w:rPr>
              <w:t>Discovery: forced by the H0 rejection and the Stage-3 commitment gap</w:t>
            </w:r>
          </w:p>
        </w:tc>
        <w:tc>
          <w:tcPr>
            <w:tcW w:type="dxa" w:w="1701"/>
          </w:tcPr>
          <w:p>
            <w:pPr>
              <w:pStyle w:val="Normal"/>
            </w:pPr>
            <w:r>
              <w:rPr>
                <w:sz w:val="24"/>
                <w:szCs w:val="22"/>
                <w:lang w:val="en-US" w:eastAsia="en-US" w:bidi="ar-SA"/>
                <w:rFonts w:ascii="Times New Roman" w:hAnsi="Times New Roman" w:eastAsia="Times New Roman" w:cs="Times New Roman"/>
                <w:b/>
              </w:rPr>
              <w:t>§6.8; Ch 7 (the adaptive-learning framework)</w:t>
            </w:r>
          </w:p>
        </w:tc>
        <w:tc>
          <w:tcPr>
            <w:tcW w:type="dxa" w:w="1701"/>
          </w:tcPr>
          <w:p>
            <w:pPr>
              <w:pStyle w:val="Normal"/>
            </w:pPr>
            <w:r>
              <w:rPr>
                <w:sz w:val="24"/>
                <w:szCs w:val="22"/>
                <w:lang w:val="en-US" w:eastAsia="en-US" w:bidi="ar-SA"/>
                <w:rFonts w:ascii="Times New Roman" w:hAnsi="Times New Roman" w:eastAsia="Times New Roman" w:cs="Times New Roman"/>
                <w:b/>
              </w:rPr>
              <w:t>Not yet tested in isolation</w:t>
            </w:r>
          </w:p>
        </w:tc>
        <w:tc>
          <w:tcPr>
            <w:tcW w:type="dxa" w:w="1701"/>
          </w:tcPr>
          <w:p>
            <w:pPr>
              <w:pStyle w:val="Normal"/>
            </w:pPr>
            <w:r>
              <w:rPr>
                <w:sz w:val="24"/>
                <w:szCs w:val="22"/>
                <w:lang w:val="en-US" w:eastAsia="en-US" w:bidi="ar-SA"/>
                <w:rFonts w:ascii="Times New Roman" w:hAnsi="Times New Roman" w:eastAsia="Times New Roman" w:cs="Times New Roman"/>
                <w:b/>
              </w:rPr>
              <w:t>Proposed; isolated evaluation pre-specified in §8.8 and instrumented in §3.6</w:t>
            </w:r>
          </w:p>
        </w:tc>
      </w:tr>
      <w:tr>
        <w:tc>
          <w:tcPr>
            <w:tcW w:type="dxa" w:w="1701"/>
          </w:tcPr>
          <w:p>
            <w:pPr>
              <w:pStyle w:val="Normal"/>
            </w:pPr>
            <w:r>
              <w:rPr>
                <w:sz w:val="24"/>
                <w:szCs w:val="22"/>
                <w:lang w:val="en-US" w:eastAsia="en-US" w:bidi="ar-SA"/>
                <w:rFonts w:ascii="Times New Roman" w:hAnsi="Times New Roman" w:eastAsia="Times New Roman" w:cs="Times New Roman"/>
                <w:b/>
              </w:rPr>
              <w:t>H0-age — under the decoupled condition, no difference between age groups</w:t>
            </w:r>
          </w:p>
        </w:tc>
        <w:tc>
          <w:tcPr>
            <w:tcW w:type="dxa" w:w="1701"/>
          </w:tcPr>
          <w:p>
            <w:pPr>
              <w:pStyle w:val="Normal"/>
            </w:pPr>
            <w:r>
              <w:rPr>
                <w:sz w:val="24"/>
                <w:szCs w:val="22"/>
                <w:lang w:val="en-US" w:eastAsia="en-US" w:bidi="ar-SA"/>
                <w:rFonts w:ascii="Times New Roman" w:hAnsi="Times New Roman" w:eastAsia="Times New Roman" w:cs="Times New Roman"/>
                <w:b/>
              </w:rPr>
              <w:t>Stage-3 cohort design (three age bands as built-in comparison groups)</w:t>
            </w:r>
          </w:p>
        </w:tc>
        <w:tc>
          <w:tcPr>
            <w:tcW w:type="dxa" w:w="1701"/>
          </w:tcPr>
          <w:p>
            <w:pPr>
              <w:pStyle w:val="Normal"/>
            </w:pPr>
            <w:r>
              <w:rPr>
                <w:sz w:val="24"/>
                <w:szCs w:val="22"/>
                <w:lang w:val="en-US" w:eastAsia="en-US" w:bidi="ar-SA"/>
                <w:rFonts w:ascii="Times New Roman" w:hAnsi="Times New Roman" w:eastAsia="Times New Roman" w:cs="Times New Roman"/>
                <w:b/>
              </w:rPr>
              <w:t>§3.2; §6.2</w:t>
            </w:r>
          </w:p>
        </w:tc>
        <w:tc>
          <w:tcPr>
            <w:tcW w:type="dxa" w:w="1701"/>
          </w:tcPr>
          <w:p>
            <w:pPr>
              <w:pStyle w:val="Normal"/>
            </w:pPr>
            <w:r>
              <w:rPr>
                <w:sz w:val="24"/>
                <w:szCs w:val="22"/>
                <w:lang w:val="en-US" w:eastAsia="en-US" w:bidi="ar-SA"/>
                <w:rFonts w:ascii="Times New Roman" w:hAnsi="Times New Roman" w:eastAsia="Times New Roman" w:cs="Times New Roman"/>
                <w:b/>
              </w:rPr>
              <w:t>Stage 3 (Ch 6): age-stratified engagement</w:t>
            </w:r>
          </w:p>
        </w:tc>
        <w:tc>
          <w:tcPr>
            <w:tcW w:type="dxa" w:w="1701"/>
          </w:tcPr>
          <w:p>
            <w:pPr>
              <w:pStyle w:val="Normal"/>
            </w:pPr>
            <w:r>
              <w:rPr>
                <w:szCs w:val="26"/>
                <w:lang w:val="en-US" w:eastAsia="en-US" w:bidi="ar-SA"/>
                <w:rFonts w:ascii="Times New Roman" w:hAnsi="Times New Roman" w:eastAsia="Times New Roman" w:cs="Times New Roman"/>
                <w:sz w:val="28"/>
                <w:b/>
              </w:rPr>
              <w:t>Nullified: initial dropout 0.0% (25-44) vs 39.0% (65-80), Fisher's exact p &lt; 0.0001; non-return converges low in all bands</w:t>
            </w:r>
          </w:p>
        </w:tc>
      </w:tr>
    </w:tbl>
    <w:p>
      <w:pPr>
        <w:pStyle w:val="Heading2"/>
      </w:pPr>
      <w:bookmarkStart w:id="49" w:name="_Toc2320245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8"/>
          <w:b/>
        </w:rP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p>
    <w:p>
      <w:pPr>
        <w:pStyle w:val="Normal"/>
        <w:keepNext/>
        <w:spacing w:before="160" w:after="40"/>
        <w:jc w:val="center"/>
      </w:pPr>
      <w:r>
        <w:drawing>
          <wp:inlin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pPr>
        <w:pStyle w:val="Heading2"/>
      </w:pPr>
      <w:bookmarkStart w:id="50" w:name="_Toc2320245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8"/>
          <w:b/>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the approval reference and coverage statement are recorded in the ethics documentation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p>
    <w:p>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pStyle w:val="Heading2"/>
      </w:pPr>
      <w:bookmarkStart w:id="51" w:name="_Toc2320245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8"/>
          <w:b/>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8"/>
          <w:b/>
        </w:rP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pPr>
        <w:pStyle w:val="Normal"/>
      </w:pPr>
      <w:r>
        <w:rPr>
          <w:i w:val="0"/>
          <w:szCs w:val="26"/>
          <w:lang w:val="en-US" w:eastAsia="en-US" w:bidi="ar-SA"/>
          <w:rFonts w:ascii="Times New Roman" w:hAnsi="Times New Roman" w:eastAsia="Times New Roman" w:cs="Times New Roman"/>
          <w:sz w:val="28"/>
          <w:b/>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pPr>
        <w:pStyle w:val="Normal"/>
      </w:pPr>
      <w:r>
        <w:rPr>
          <w:szCs w:val="26"/>
          <w:lang w:val="en-US" w:eastAsia="en-US" w:bidi="ar-SA"/>
          <w:rFonts w:ascii="Times New Roman" w:hAnsi="Times New Roman" w:eastAsia="Times New Roman" w:cs="Times New Roman"/>
          <w:sz w:val="28"/>
          <w:b/>
        </w:rP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pPr>
        <w:pStyle w:val="Heading2"/>
      </w:pPr>
      <w:bookmarkStart w:id="52" w:name="_Toc23202455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3.6 An Instrumentation Roadmap for the Adaptive-Learning Claim</w:t>
      </w:r>
      <w:bookmarkEnd w:id="52"/>
    </w:p>
    <w:p>
      <w:pPr>
        <w:pStyle w:val="Normal"/>
        <w:jc w:val="both"/>
      </w:pPr>
      <w:r>
        <w:rPr>
          <w:szCs w:val="26"/>
          <w:lang w:val="en-US" w:eastAsia="en-US" w:bidi="ar-SA"/>
          <w:rFonts w:ascii="Times New Roman" w:hAnsi="Times New Roman" w:eastAsia="Times New Roman" w:cs="Times New Roman"/>
          <w:sz w:val="28"/>
          <w:b/>
        </w:rP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pPr>
        <w:pStyle w:val="Normal"/>
        <w:jc w:val="both"/>
      </w:pPr>
      <w:r>
        <w:rPr>
          <w:szCs w:val="26"/>
          <w:lang w:val="en-US" w:eastAsia="en-US" w:bidi="ar-SA"/>
          <w:rFonts w:ascii="Times New Roman" w:hAnsi="Times New Roman" w:eastAsia="Times New Roman" w:cs="Times New Roman"/>
          <w:sz w:val="28"/>
          <w:b/>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8"/>
          <w:b/>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b/>
          <w:color w:val="000000"/>
          <w:sz w:val="28"/>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4 Stage 1 — From FIDS to FIAS</w:t>
      </w:r>
    </w:p>
    <w:p>
      <w:pPr>
        <w:pStyle w:val="Normal"/>
        <w:jc w:val="both"/>
      </w:pPr>
      <w:r>
        <w:rPr>
          <w:szCs w:val="26"/>
          <w:lang w:val="en-US" w:eastAsia="en-US" w:bidi="ar-SA"/>
          <w:rFonts w:ascii="Times New Roman" w:hAnsi="Times New Roman" w:eastAsia="Times New Roman" w:cs="Times New Roman"/>
          <w:sz w:val="28"/>
          <w:b/>
        </w:rPr>
        <w:t>Based on Paper 1 (SS-293).</w:t>
      </w:r>
    </w:p>
    <w:p>
      <w:pPr>
        <w:pStyle w:val="Heading2"/>
      </w:pPr>
      <w:bookmarkStart w:id="53" w:name="_Toc23202455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4.1 Purpose</w:t>
      </w:r>
      <w:bookmarkEnd w:id="53"/>
    </w:p>
    <w:p>
      <w:pPr>
        <w:pStyle w:val="Normal"/>
        <w:jc w:val="both"/>
      </w:pPr>
      <w:r>
        <w:rPr>
          <w:szCs w:val="26"/>
          <w:lang w:val="en-US" w:eastAsia="en-US" w:bidi="ar-SA"/>
          <w:rFonts w:ascii="Times New Roman" w:hAnsi="Times New Roman" w:eastAsia="Times New Roman" w:cs="Times New Roman"/>
          <w:sz w:val="28"/>
          <w:b/>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pPr>
        <w:pStyle w:val="Heading2"/>
      </w:pPr>
      <w:bookmarkStart w:id="54" w:name="_Toc23202455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pPr>
        <w:pStyle w:val="Heading2"/>
      </w:pPr>
      <w:bookmarkStart w:id="56" w:name="_Toc23202455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pPr>
        <w:pStyle w:val="FigureCaption"/>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interviewed, of a resident population of 280).</w:t>
      </w:r>
      <w:bookmarkEnd w:id="57"/>
    </w:p>
    <w:tbl>
      <w:tblPr>
        <w:tblStyle w:val="TableGrid"/>
        <w:tblW w:w="0" w:type="auto"/>
        <w:jc w:val="center"/>
        <w:tblLook w:val="04A0" w:firstRow="1" w:lastRow="0" w:firstColumn="1" w:lastColumn="0" w:noHBand="0" w:noVBand="1"/>
      </w:tblPr>
      <w:tblGrid>
        <w:gridCol w:w="5665"/>
        <w:gridCol w:w="1848"/>
      </w:tblGrid>
      <w:tr>
        <w:trPr>
          <w:jc w:val="center"/>
        </w:trPr>
        <w:tc>
          <w:tcPr>
            <w:tcW w:w="5665" w:type="dxa"/>
          </w:tcPr>
          <w:p>
            <w:pPr>
              <w:pStyle w:val="Normal"/>
            </w:pPr>
            <w:r>
              <w:rPr>
                <w:b/>
                <w:sz w:val="20"/>
                <w:szCs w:val="22"/>
                <w:lang w:val="en-US" w:eastAsia="en-US" w:bidi="ar-SA"/>
                <w:rFonts w:ascii="Times New Roman" w:hAnsi="Times New Roman" w:eastAsia="Times New Roman" w:cs="Times New Roman"/>
              </w:rPr>
              <w:t>Survey item</w:t>
            </w:r>
          </w:p>
        </w:tc>
        <w:tc>
          <w:tcPr>
            <w:tcW w:w="1848" w:type="dxa"/>
          </w:tcPr>
          <w:p>
            <w:pPr>
              <w:pStyle w:val="Normal"/>
            </w:pPr>
            <w:r>
              <w:rPr>
                <w:b/>
                <w:sz w:val="20"/>
                <w:szCs w:val="22"/>
                <w:lang w:val="en-US" w:eastAsia="en-US" w:bidi="ar-SA"/>
                <w:rFonts w:ascii="Times New Roman" w:hAnsi="Times New Roman" w:eastAsia="Times New Roman" w:cs="Times New Roman"/>
              </w:rPr>
              <w:t>Result</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Ever used FRA</w:t>
            </w:r>
          </w:p>
        </w:tc>
        <w:tc>
          <w:tcPr>
            <w:tcW w:w="1848" w:type="dxa"/>
          </w:tcPr>
          <w:p>
            <w:pPr>
              <w:pStyle w:val="Normal"/>
            </w:pPr>
            <w:r>
              <w:rPr>
                <w:sz w:val="20"/>
                <w:szCs w:val="22"/>
                <w:lang w:val="en-US" w:eastAsia="en-US" w:bidi="ar-SA"/>
                <w:rFonts w:ascii="Times New Roman" w:hAnsi="Times New Roman" w:eastAsia="Times New Roman" w:cs="Times New Roman"/>
              </w:rPr>
              <w:t>39%</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Never used FRA</w:t>
            </w:r>
          </w:p>
        </w:tc>
        <w:tc>
          <w:tcPr>
            <w:tcW w:w="1848" w:type="dxa"/>
          </w:tcPr>
          <w:p>
            <w:pPr>
              <w:pStyle w:val="Normal"/>
            </w:pPr>
            <w:r>
              <w:rPr>
                <w:sz w:val="20"/>
                <w:szCs w:val="22"/>
                <w:lang w:val="en-US" w:eastAsia="en-US" w:bidi="ar-SA"/>
                <w:rFonts w:ascii="Times New Roman" w:hAnsi="Times New Roman" w:eastAsia="Times New Roman" w:cs="Times New Roman"/>
              </w:rPr>
              <w:t>61%</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48" w:type="dxa"/>
          </w:tcPr>
          <w:p>
            <w:pPr>
              <w:pStyle w:val="Normal"/>
            </w:pPr>
            <w:r>
              <w:rPr>
                <w:sz w:val="20"/>
                <w:szCs w:val="22"/>
                <w:lang w:val="en-US" w:eastAsia="en-US" w:bidi="ar-SA"/>
                <w:rFonts w:ascii="Times New Roman" w:hAnsi="Times New Roman" w:eastAsia="Times New Roman" w:cs="Times New Roman"/>
              </w:rPr>
              <w:t>~74%</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48" w:type="dxa"/>
          </w:tcPr>
          <w:p>
            <w:pPr>
              <w:pStyle w:val="Normal"/>
            </w:pPr>
            <w:r>
              <w:rPr>
                <w:sz w:val="20"/>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pPr>
        <w:pStyle w:val="FigureCaption"/>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trPr>
          <w:jc w:val="center"/>
        </w:trPr>
        <w:tc>
          <w:tcPr>
            <w:tcW w:w="2689" w:type="dxa"/>
          </w:tcPr>
          <w:p>
            <w:pPr>
              <w:pStyle w:val="Normal"/>
            </w:pPr>
            <w:r>
              <w:rPr>
                <w:b/>
                <w:sz w:val="20"/>
                <w:szCs w:val="22"/>
                <w:lang w:val="en-US" w:eastAsia="en-US" w:bidi="ar-SA"/>
                <w:rFonts w:ascii="Times New Roman" w:hAnsi="Times New Roman" w:eastAsia="Times New Roman" w:cs="Times New Roman"/>
              </w:rPr>
              <w:t>TAM assumption</w:t>
            </w:r>
          </w:p>
        </w:tc>
        <w:tc>
          <w:tcPr>
            <w:tcW w:w="2974" w:type="dxa"/>
          </w:tcPr>
          <w:p>
            <w:pPr>
              <w:pStyle w:val="Normal"/>
            </w:pPr>
            <w:r>
              <w:rPr>
                <w:b/>
                <w:sz w:val="20"/>
                <w:szCs w:val="22"/>
                <w:lang w:val="en-US" w:eastAsia="en-US" w:bidi="ar-SA"/>
                <w:rFonts w:ascii="Times New Roman" w:hAnsi="Times New Roman" w:eastAsia="Times New Roman" w:cs="Times New Roman"/>
              </w:rPr>
              <w:t>Reality for elderly FRA users</w:t>
            </w:r>
          </w:p>
        </w:tc>
        <w:tc>
          <w:tcPr>
            <w:tcW w:w="2832" w:type="dxa"/>
          </w:tcPr>
          <w:p>
            <w:pPr>
              <w:pStyle w:val="Normal"/>
            </w:pPr>
            <w:r>
              <w:rPr>
                <w:b/>
                <w:sz w:val="20"/>
                <w:szCs w:val="22"/>
                <w:lang w:val="en-US" w:eastAsia="en-US" w:bidi="ar-SA"/>
                <w:rFonts w:ascii="Times New Roman" w:hAnsi="Times New Roman" w:eastAsia="Times New Roman" w:cs="Times New Roman"/>
              </w:rPr>
              <w:t>Consequence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Usefulness tied to job performance</w:t>
            </w:r>
          </w:p>
        </w:tc>
        <w:tc>
          <w:tcPr>
            <w:tcW w:w="2974" w:type="dxa"/>
          </w:tcPr>
          <w:p>
            <w:pPr>
              <w:pStyle w:val="Normal"/>
            </w:pPr>
            <w:r>
              <w:rPr>
                <w:sz w:val="20"/>
                <w:szCs w:val="22"/>
                <w:lang w:val="en-US" w:eastAsia="en-US" w:bidi="ar-SA"/>
                <w:rFonts w:ascii="Times New Roman" w:hAnsi="Times New Roman" w:eastAsia="Times New Roman" w:cs="Times New Roman"/>
              </w:rPr>
              <w:t>Users are retired</w:t>
            </w:r>
          </w:p>
        </w:tc>
        <w:tc>
          <w:tcPr>
            <w:tcW w:w="2832" w:type="dxa"/>
          </w:tcPr>
          <w:p>
            <w:pPr>
              <w:pStyle w:val="Normal"/>
            </w:pPr>
            <w:r>
              <w:rPr>
                <w:sz w:val="20"/>
                <w:szCs w:val="22"/>
                <w:lang w:val="en-US" w:eastAsia="en-US" w:bidi="ar-SA"/>
                <w:rFonts w:ascii="Times New Roman" w:hAnsi="Times New Roman" w:eastAsia="Times New Roman" w:cs="Times New Roman"/>
              </w:rPr>
              <w:t>PU needs redefining</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Positive perceptions predict adoption</w:t>
            </w:r>
          </w:p>
        </w:tc>
        <w:tc>
          <w:tcPr>
            <w:tcW w:w="2974" w:type="dxa"/>
          </w:tcPr>
          <w:p>
            <w:pPr>
              <w:pStyle w:val="Normal"/>
            </w:pPr>
            <w:r>
              <w:rPr>
                <w:szCs w:val="22"/>
                <w:lang w:val="en-US" w:eastAsia="en-US" w:bidi="ar-SA"/>
                <w:rFonts w:ascii="Times New Roman" w:hAnsi="Times New Roman" w:eastAsia="Times New Roman" w:cs="Times New Roman"/>
                <w:sz w:val="24"/>
              </w:rPr>
              <w:t>Reported favourable beliefs coexisted with low prior use</w:t>
            </w:r>
          </w:p>
        </w:tc>
        <w:tc>
          <w:tcPr>
            <w:tcW w:w="2832" w:type="dxa"/>
          </w:tcPr>
          <w:p>
            <w:pPr>
              <w:pStyle w:val="Normal"/>
            </w:pPr>
            <w:r>
              <w:rPr>
                <w:szCs w:val="22"/>
                <w:lang w:val="en-US" w:eastAsia="en-US" w:bidi="ar-SA"/>
                <w:rFonts w:ascii="Times New Roman" w:hAnsi="Times New Roman" w:eastAsia="Times New Roman" w:cs="Times New Roman"/>
                <w:sz w:val="24"/>
              </w:rPr>
              <w:t>Beliefs alone did not account for observed use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Negative experience reduces acceptance gradually</w:t>
            </w:r>
          </w:p>
        </w:tc>
        <w:tc>
          <w:tcPr>
            <w:tcW w:w="2974" w:type="dxa"/>
          </w:tcPr>
          <w:p>
            <w:pPr>
              <w:pStyle w:val="Normal"/>
            </w:pPr>
            <w:r>
              <w:rPr>
                <w:szCs w:val="22"/>
                <w:lang w:val="en-US" w:eastAsia="en-US" w:bidi="ar-SA"/>
                <w:rFonts w:ascii="Times New Roman" w:hAnsi="Times New Roman" w:eastAsia="Times New Roman" w:cs="Times New Roman"/>
                <w:sz w:val="24"/>
              </w:rPr>
              <w:t>Reported/observed non-return could occur abruptly within the study window</w:t>
            </w:r>
          </w:p>
        </w:tc>
        <w:tc>
          <w:tcPr>
            <w:tcW w:w="2832" w:type="dxa"/>
          </w:tcPr>
          <w:p>
            <w:pPr>
              <w:pStyle w:val="Normal"/>
            </w:pPr>
            <w:r>
              <w:rPr>
                <w:szCs w:val="22"/>
                <w:lang w:val="en-US" w:eastAsia="en-US" w:bidi="ar-SA"/>
                <w:rFonts w:ascii="Times New Roman" w:hAnsi="Times New Roman" w:eastAsia="Times New Roman" w:cs="Times New Roman"/>
                <w:sz w:val="24"/>
              </w:rPr>
              <w:t>Standard models do not explicitly represent event-triggered non-return</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No construct for failure response</w:t>
            </w:r>
          </w:p>
        </w:tc>
        <w:tc>
          <w:tcPr>
            <w:tcW w:w="2974" w:type="dxa"/>
          </w:tcPr>
          <w:p>
            <w:pPr>
              <w:pStyle w:val="Normal"/>
            </w:pPr>
            <w:r>
              <w:rPr>
                <w:szCs w:val="22"/>
                <w:lang w:val="en-US" w:eastAsia="en-US" w:bidi="ar-SA"/>
                <w:rFonts w:ascii="Times New Roman" w:hAnsi="Times New Roman" w:eastAsia="Times New Roman" w:cs="Times New Roman"/>
                <w:sz w:val="24"/>
              </w:rPr>
              <w:t>First failure was strongly associated with observed dropout in Stage 2</w:t>
            </w:r>
          </w:p>
        </w:tc>
        <w:tc>
          <w:tcPr>
            <w:tcW w:w="2832" w:type="dxa"/>
          </w:tcPr>
          <w:p>
            <w:pPr>
              <w:pStyle w:val="Normal"/>
            </w:pPr>
            <w:r>
              <w:rPr>
                <w:szCs w:val="22"/>
                <w:lang w:val="en-US" w:eastAsia="en-US" w:bidi="ar-SA"/>
                <w:rFonts w:ascii="Times New Roman" w:hAnsi="Times New Roman" w:eastAsia="Times New Roman" w:cs="Times New Roman"/>
                <w:sz w:val="24"/>
              </w:rPr>
              <w:t>Requires a post-contact, time-varying account</w:t>
            </w:r>
          </w:p>
        </w:tc>
      </w:tr>
    </w:tbl>
    <w:p>
      <w:pPr>
        <w:pStyle w:val="Normal"/>
        <w:spacing w:after="40"/>
      </w:pPr>
    </w:p>
    <w:p>
      <w:pPr>
        <w:pStyle w:val="Heading2"/>
      </w:pPr>
      <w:bookmarkStart w:id="60" w:name="_Toc23202455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trPr>
          <w:jc w:val="center"/>
        </w:trPr>
        <w:tc>
          <w:tcPr>
            <w:tcW w:w="2405" w:type="dxa"/>
          </w:tcPr>
          <w:p>
            <w:pPr>
              <w:pStyle w:val="Normal"/>
            </w:pPr>
            <w:r>
              <w:rPr>
                <w:b/>
                <w:sz w:val="20"/>
                <w:szCs w:val="22"/>
                <w:lang w:val="en-US" w:eastAsia="en-US" w:bidi="ar-SA"/>
                <w:rFonts w:ascii="Times New Roman" w:hAnsi="Times New Roman" w:eastAsia="Times New Roman" w:cs="Times New Roman"/>
              </w:rPr>
              <w:t>Octalysis drive</w:t>
            </w:r>
          </w:p>
        </w:tc>
        <w:tc>
          <w:tcPr>
            <w:tcW w:w="2977" w:type="dxa"/>
          </w:tcPr>
          <w:p>
            <w:pPr>
              <w:pStyle w:val="Normal"/>
            </w:pPr>
            <w:r>
              <w:rPr>
                <w:b/>
                <w:sz w:val="20"/>
                <w:szCs w:val="22"/>
                <w:lang w:val="en-US" w:eastAsia="en-US" w:bidi="ar-SA"/>
                <w:rFonts w:ascii="Times New Roman" w:hAnsi="Times New Roman" w:eastAsia="Times New Roman" w:cs="Times New Roman"/>
              </w:rPr>
              <w:t>Standard assumption</w:t>
            </w:r>
          </w:p>
        </w:tc>
        <w:tc>
          <w:tcPr>
            <w:tcW w:w="3113" w:type="dxa"/>
          </w:tcPr>
          <w:p>
            <w:pPr>
              <w:pStyle w:val="Normal"/>
            </w:pPr>
            <w:r>
              <w:rPr>
                <w:szCs w:val="22"/>
                <w:lang w:val="en-US" w:eastAsia="en-US" w:bidi="ar-SA"/>
                <w:rFonts w:ascii="Times New Roman" w:hAnsi="Times New Roman" w:eastAsia="Times New Roman" w:cs="Times New Roman"/>
                <w:sz w:val="24"/>
              </w:rPr>
              <w:t>Context-sensitive possibility in older clinical users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D2 Accomplishment</w:t>
            </w:r>
          </w:p>
        </w:tc>
        <w:tc>
          <w:tcPr>
            <w:tcW w:w="2977" w:type="dxa"/>
          </w:tcPr>
          <w:p>
            <w:pPr>
              <w:pStyle w:val="Normal"/>
            </w:pPr>
            <w:r>
              <w:rPr>
                <w:sz w:val="20"/>
                <w:szCs w:val="22"/>
                <w:lang w:val="en-US" w:eastAsia="en-US" w:bidi="ar-SA"/>
                <w:rFonts w:ascii="Times New Roman" w:hAnsi="Times New Roman" w:eastAsia="Times New Roman" w:cs="Times New Roman"/>
              </w:rPr>
              <w:t>Achievement challenges motivate</w:t>
            </w:r>
          </w:p>
        </w:tc>
        <w:tc>
          <w:tcPr>
            <w:tcW w:w="3113" w:type="dxa"/>
          </w:tcPr>
          <w:p>
            <w:pPr>
              <w:pStyle w:val="Normal"/>
            </w:pPr>
            <w:r>
              <w:rPr>
                <w:sz w:val="20"/>
                <w:szCs w:val="22"/>
                <w:lang w:val="en-US" w:eastAsia="en-US" w:bidi="ar-SA"/>
                <w:rFonts w:ascii="Times New Roman" w:hAnsi="Times New Roman" w:eastAsia="Times New Roman" w:cs="Times New Roman"/>
              </w:rPr>
              <w:t>May be undermined by failure</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D5 Social Influence</w:t>
            </w:r>
          </w:p>
        </w:tc>
        <w:tc>
          <w:tcPr>
            <w:tcW w:w="2977" w:type="dxa"/>
          </w:tcPr>
          <w:p>
            <w:pPr>
              <w:pStyle w:val="Normal"/>
            </w:pPr>
            <w:r>
              <w:rPr>
                <w:sz w:val="20"/>
                <w:szCs w:val="22"/>
                <w:lang w:val="en-US" w:eastAsia="en-US" w:bidi="ar-SA"/>
                <w:rFonts w:ascii="Times New Roman" w:hAnsi="Times New Roman" w:eastAsia="Times New Roman" w:cs="Times New Roman"/>
              </w:rPr>
              <w:t>Comparison drives engagement</w:t>
            </w:r>
          </w:p>
        </w:tc>
        <w:tc>
          <w:tcPr>
            <w:tcW w:w="3113"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D8 Loss and Avoidance</w:t>
            </w:r>
          </w:p>
        </w:tc>
        <w:tc>
          <w:tcPr>
            <w:tcW w:w="2977" w:type="dxa"/>
          </w:tcPr>
          <w:p>
            <w:pPr>
              <w:pStyle w:val="Normal"/>
            </w:pPr>
            <w:r>
              <w:rPr>
                <w:sz w:val="20"/>
                <w:szCs w:val="22"/>
                <w:lang w:val="en-US" w:eastAsia="en-US" w:bidi="ar-SA"/>
                <w:rFonts w:ascii="Times New Roman" w:hAnsi="Times New Roman" w:eastAsia="Times New Roman" w:cs="Times New Roman"/>
              </w:rPr>
              <w:t>Fear of losing progress sustains play</w:t>
            </w:r>
          </w:p>
        </w:tc>
        <w:tc>
          <w:tcPr>
            <w:tcW w:w="3113"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pPr>
        <w:pStyle w:val="Heading2"/>
      </w:pPr>
      <w:bookmarkStart w:id="65" w:name="_Toc23202456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2"/>
          <w:szCs w:val="28"/>
          <w:i/>
        </w:rPr>
        <w:t>Chapter 5 Stage 2 — Action Research with Gamified FRA</w:t>
      </w:r>
      <w:bookmarkEnd w:id="66"/>
    </w:p>
    <w:p>
      <w:pPr>
        <w:pStyle w:val="Heading2"/>
      </w:pPr>
      <w:bookmarkStart w:id="67" w:name="_Toc232024564"/>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pPr>
      <w:r>
        <w:rPr>
          <w:szCs w:val="22"/>
          <w:lang w:val="en-US" w:eastAsia="en-US" w:bidi="ar-SA"/>
          <w:rFonts w:ascii="Times New Roman" w:hAnsi="Times New Roman" w:eastAsia="Times New Roman" w:cs="Times New Roman"/>
          <w:sz w:val="24"/>
        </w:rP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 H2 and H4 are the directional hypotheses that structure that test.</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objective-score-improvement/non-return paradox).</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pPr>
        <w:pStyle w:val="Heading2"/>
      </w:pPr>
      <w:bookmarkStart w:id="68" w:name="_Toc23202456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pPr>
        <w:pStyle w:val="Heading2"/>
      </w:pPr>
      <w:bookmarkStart w:id="69" w:name="_Toc23202456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pPr>
        <w:pStyle w:val="Normal"/>
        <w:keepNext/>
        <w:spacing w:before="160" w:after="40"/>
        <w:jc w:val="center"/>
      </w:pPr>
      <w:r>
        <w:drawing>
          <wp:inlin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w:t>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trPr>
          <w:jc w:val="center"/>
        </w:trPr>
        <w:tc>
          <w:tcPr>
            <w:tcW w:w="1271" w:type="dxa"/>
          </w:tcPr>
          <w:p>
            <w:pPr>
              <w:pStyle w:val="Normal"/>
            </w:pPr>
            <w:r>
              <w:rPr>
                <w:b/>
                <w:sz w:val="20"/>
                <w:szCs w:val="22"/>
                <w:lang w:val="en-US" w:eastAsia="en-US" w:bidi="ar-SA"/>
                <w:rFonts w:ascii="Times New Roman" w:hAnsi="Times New Roman" w:eastAsia="Times New Roman" w:cs="Times New Roman"/>
              </w:rPr>
              <w:t>Category</w:t>
            </w:r>
          </w:p>
        </w:tc>
        <w:tc>
          <w:tcPr>
            <w:tcW w:w="2268" w:type="dxa"/>
          </w:tcPr>
          <w:p>
            <w:pPr>
              <w:pStyle w:val="Normal"/>
            </w:pPr>
            <w:r>
              <w:rPr>
                <w:b/>
                <w:sz w:val="20"/>
                <w:szCs w:val="22"/>
                <w:lang w:val="en-US" w:eastAsia="en-US" w:bidi="ar-SA"/>
                <w:rFonts w:ascii="Times New Roman" w:hAnsi="Times New Roman" w:eastAsia="Times New Roman" w:cs="Times New Roman"/>
              </w:rPr>
              <w:t>Parameter</w:t>
            </w:r>
          </w:p>
        </w:tc>
        <w:tc>
          <w:tcPr>
            <w:tcW w:w="2126" w:type="dxa"/>
          </w:tcPr>
          <w:p>
            <w:pPr>
              <w:pStyle w:val="Normal"/>
            </w:pPr>
            <w:r>
              <w:rPr>
                <w:b/>
                <w:sz w:val="20"/>
                <w:szCs w:val="22"/>
                <w:lang w:val="en-US" w:eastAsia="en-US" w:bidi="ar-SA"/>
                <w:rFonts w:ascii="Times New Roman" w:hAnsi="Times New Roman" w:eastAsia="Times New Roman" w:cs="Times New Roman"/>
              </w:rPr>
              <w:t>Value</w:t>
            </w:r>
          </w:p>
        </w:tc>
        <w:tc>
          <w:tcPr>
            <w:tcW w:w="2830" w:type="dxa"/>
          </w:tcPr>
          <w:p>
            <w:pPr>
              <w:pStyle w:val="Normal"/>
            </w:pPr>
            <w:r>
              <w:rPr>
                <w:b/>
                <w:sz w:val="20"/>
                <w:szCs w:val="22"/>
                <w:lang w:val="en-US" w:eastAsia="en-US" w:bidi="ar-SA"/>
                <w:rFonts w:ascii="Times New Roman" w:hAnsi="Times New Roman" w:eastAsia="Times New Roman" w:cs="Times New Roman"/>
              </w:rPr>
              <w:t>Role in FRA-game integration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Slope</w:t>
            </w:r>
          </w:p>
        </w:tc>
        <w:tc>
          <w:tcPr>
            <w:tcW w:w="2268" w:type="dxa"/>
          </w:tcPr>
          <w:p>
            <w:pPr>
              <w:pStyle w:val="Normal"/>
            </w:pPr>
            <w:r>
              <w:rPr>
                <w:sz w:val="20"/>
                <w:szCs w:val="22"/>
                <w:lang w:val="en-US" w:eastAsia="en-US" w:bidi="ar-SA"/>
                <w:rFonts w:ascii="Times New Roman" w:hAnsi="Times New Roman" w:eastAsia="Times New Roman" w:cs="Times New Roman"/>
              </w:rPr>
              <w:t>slopeWidth / Length / Angle</w:t>
            </w:r>
          </w:p>
        </w:tc>
        <w:tc>
          <w:tcPr>
            <w:tcW w:w="2126" w:type="dxa"/>
          </w:tcPr>
          <w:p>
            <w:pPr>
              <w:pStyle w:val="Normal"/>
            </w:pPr>
            <w:r>
              <w:rPr>
                <w:sz w:val="20"/>
                <w:szCs w:val="22"/>
                <w:lang w:val="en-US" w:eastAsia="en-US" w:bidi="ar-SA"/>
                <w:rFonts w:ascii="Times New Roman" w:hAnsi="Times New Roman" w:eastAsia="Times New Roman" w:cs="Times New Roman"/>
              </w:rPr>
              <w:t>30 m / 2000 m / 12°</w:t>
            </w:r>
          </w:p>
        </w:tc>
        <w:tc>
          <w:tcPr>
            <w:tcW w:w="2830"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Player</w:t>
            </w:r>
          </w:p>
        </w:tc>
        <w:tc>
          <w:tcPr>
            <w:tcW w:w="2268"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2126" w:type="dxa"/>
          </w:tcPr>
          <w:p>
            <w:pPr>
              <w:pStyle w:val="Normal"/>
            </w:pPr>
            <w:r>
              <w:rPr>
                <w:sz w:val="20"/>
                <w:szCs w:val="22"/>
                <w:lang w:val="en-US" w:eastAsia="en-US" w:bidi="ar-SA"/>
                <w:rFonts w:ascii="Times New Roman" w:hAnsi="Times New Roman" w:eastAsia="Times New Roman" w:cs="Times New Roman"/>
              </w:rPr>
              <w:t>8 / 12 / 30 m/s</w:t>
            </w:r>
          </w:p>
        </w:tc>
        <w:tc>
          <w:tcPr>
            <w:tcW w:w="2830"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Balance</w:t>
            </w:r>
          </w:p>
        </w:tc>
        <w:tc>
          <w:tcPr>
            <w:tcW w:w="2268"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2126"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2830"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Obstacles</w:t>
            </w:r>
          </w:p>
        </w:tc>
        <w:tc>
          <w:tcPr>
            <w:tcW w:w="2268"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2126" w:type="dxa"/>
          </w:tcPr>
          <w:p>
            <w:pPr>
              <w:pStyle w:val="Normal"/>
            </w:pPr>
            <w:r>
              <w:rPr>
                <w:sz w:val="20"/>
                <w:szCs w:val="22"/>
                <w:lang w:val="en-US" w:eastAsia="en-US" w:bidi="ar-SA"/>
                <w:rFonts w:ascii="Times New Roman" w:hAnsi="Times New Roman" w:eastAsia="Times New Roman" w:cs="Times New Roman"/>
              </w:rPr>
              <w:t>0.4/m; 120 m / 30 m; 0.4–1.0 m</w:t>
            </w:r>
          </w:p>
        </w:tc>
        <w:tc>
          <w:tcPr>
            <w:tcW w:w="2830"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Coins</w:t>
            </w:r>
          </w:p>
        </w:tc>
        <w:tc>
          <w:tcPr>
            <w:tcW w:w="2268"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2126" w:type="dxa"/>
          </w:tcPr>
          <w:p>
            <w:pPr>
              <w:pStyle w:val="Normal"/>
            </w:pPr>
            <w:r>
              <w:rPr>
                <w:sz w:val="20"/>
                <w:szCs w:val="22"/>
                <w:lang w:val="en-US" w:eastAsia="en-US" w:bidi="ar-SA"/>
                <w:rFonts w:ascii="Times New Roman" w:hAnsi="Times New Roman" w:eastAsia="Times New Roman" w:cs="Times New Roman"/>
              </w:rPr>
              <w:t>0.3/m; 10 pts; 3 %</w:t>
            </w:r>
          </w:p>
        </w:tc>
        <w:tc>
          <w:tcPr>
            <w:tcW w:w="2830"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Lives</w:t>
            </w:r>
          </w:p>
        </w:tc>
        <w:tc>
          <w:tcPr>
            <w:tcW w:w="2268"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2126"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2830"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Difficulty</w:t>
            </w:r>
          </w:p>
        </w:tc>
        <w:tc>
          <w:tcPr>
            <w:tcW w:w="2268"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2126" w:type="dxa"/>
          </w:tcPr>
          <w:p>
            <w:pPr>
              <w:pStyle w:val="Normal"/>
            </w:pPr>
            <w:r>
              <w:rPr>
                <w:sz w:val="20"/>
                <w:szCs w:val="22"/>
                <w:lang w:val="en-US" w:eastAsia="en-US" w:bidi="ar-SA"/>
                <w:rFonts w:ascii="Times New Roman" w:hAnsi="Times New Roman" w:eastAsia="Times New Roman" w:cs="Times New Roman"/>
              </w:rPr>
              <w:t>\+0.15 / 200 m; 0.42–1.43</w:t>
            </w:r>
          </w:p>
        </w:tc>
        <w:tc>
          <w:tcPr>
            <w:tcW w:w="2830" w:type="dxa"/>
          </w:tcPr>
          <w:p>
            <w:pPr>
              <w:pStyle w:val="Normal"/>
            </w:pPr>
            <w:r>
              <w:rPr>
                <w:sz w:val="20"/>
                <w:szCs w:val="22"/>
                <w:lang w:val="en-US" w:eastAsia="en-US" w:bidi="ar-SA"/>
                <w:rFonts w:ascii="Times New Roman" w:hAnsi="Times New Roman" w:eastAsia="Times New Roman" w:cs="Times New Roman"/>
              </w:rPr>
              <w:t>Adaptive layer (L2) that protects the flow band for FRA-aligned cohorts.</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pPr>
        <w:pStyle w:val="Heading2"/>
      </w:pPr>
      <w:bookmarkStart w:id="71" w:name="_Toc232024567"/>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pPr>
        <w:pStyle w:val="Heading3"/>
      </w:pPr>
      <w:bookmarkStart w:id="73" w:name="_Toc2320245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jc w:val="center"/>
      </w:pPr>
      <w:bookmarkStart w:id="75" w:name="_Toc232024682"/>
      <w:r>
        <w:rPr>
          <w:sz w:val="24"/>
          <w:szCs w:val="22"/>
          <w:lang w:val="en-US" w:eastAsia="en-US" w:bidi="ar-SA"/>
          <w:rFonts w:ascii="Times New Roman" w:hAnsi="Times New Roman" w:eastAsia="Times New Roman" w:cs="Times New Roman"/>
          <w:i/>
          <w:b/>
        </w:rPr>
        <w:t>Figure 5.1. Skiing game on-screen display. The skier is controlled through Centre-of-Pressure shifts on the InBody panel; trees and rocks act as obstacles, gold coins reward forward play, and a level-and-score display is anchored to the top of the screen.</w:t>
      </w:r>
      <w:bookmarkEnd w:id="75"/>
    </w:p>
    <w:p>
      <w:pPr>
        <w:pStyle w:val="Normal"/>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pPr>
        <w:pStyle w:val="Normal"/>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pPr>
        <w:pStyle w:val="Heading3"/>
      </w:pPr>
      <w:bookmarkStart w:id="76" w:name="_Toc2320245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The dual-purpose mechanic links Layer 0 (sensor input) and Layer 4 (clinical output) through the gameplay layers without exposing clinical numbers to the user during play.</w:t>
      </w:r>
      <w:bookmarkEnd w:id="77"/>
    </w:p>
    <w:p>
      <w:pPr>
        <w:pStyle w:val="Heading3"/>
      </w:pPr>
      <w:bookmarkStart w:id="78" w:name="_Toc2320245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pPr>
        <w:pStyle w:val="Heading3"/>
      </w:pPr>
      <w:bookmarkStart w:id="79" w:name="_Toc23202457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trPr>
          <w:jc w:val="center"/>
        </w:trPr>
        <w:tc>
          <w:tcPr>
            <w:tcW w:w="1129" w:type="dxa"/>
          </w:tcPr>
          <w:p>
            <w:pPr>
              <w:pStyle w:val="Normal"/>
            </w:pPr>
            <w:r>
              <w:rPr>
                <w:b/>
                <w:sz w:val="20"/>
                <w:szCs w:val="22"/>
                <w:lang w:val="en-US" w:eastAsia="en-US" w:bidi="ar-SA"/>
                <w:rFonts w:ascii="Times New Roman" w:hAnsi="Times New Roman" w:eastAsia="Times New Roman" w:cs="Times New Roman"/>
              </w:rPr>
              <w:t>Dimension</w:t>
            </w:r>
          </w:p>
        </w:tc>
        <w:tc>
          <w:tcPr>
            <w:tcW w:w="7366" w:type="dxa"/>
          </w:tcPr>
          <w:p>
            <w:pPr>
              <w:pStyle w:val="Normal"/>
            </w:pPr>
            <w:r>
              <w:rPr>
                <w:b/>
                <w:sz w:val="20"/>
                <w:szCs w:val="22"/>
                <w:lang w:val="en-US" w:eastAsia="en-US" w:bidi="ar-SA"/>
                <w:rFonts w:ascii="Times New Roman" w:hAnsi="Times New Roman" w:eastAsia="Times New Roman" w:cs="Times New Roman"/>
              </w:rPr>
              <w:t>Fields</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User</w:t>
            </w:r>
          </w:p>
        </w:tc>
        <w:tc>
          <w:tcPr>
            <w:tcW w:w="7366"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Game</w:t>
            </w:r>
          </w:p>
        </w:tc>
        <w:tc>
          <w:tcPr>
            <w:tcW w:w="7366"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Result</w:t>
            </w:r>
          </w:p>
        </w:tc>
        <w:tc>
          <w:tcPr>
            <w:tcW w:w="7366"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5.3.8 Why a Skiing Game?</w:t>
      </w:r>
      <w:bookmarkEnd w:id="82"/>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pPr>
        <w:pStyle w:val="Heading3"/>
      </w:pPr>
      <w:bookmarkStart w:id="83" w:name="_Toc2320245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pStyle w:val="Normal"/>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w:t>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t>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t>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(§5.2A); the three-or-fewer-cycles threshold defines the low-engagement group referenced in H1 (§5.1).</w:t>
      </w:r>
    </w:p>
    <w:p>
      <w:pPr>
        <w:pStyle w:val="Normal"/>
      </w:pPr>
      <w:r>
        <w:rPr>
          <w:szCs w:val="22"/>
          <w:lang w:val="en-US" w:eastAsia="en-US" w:bidi="ar-SA"/>
          <w:rFonts w:ascii="Times New Roman" w:hAnsi="Times New Roman" w:eastAsia="Times New Roman" w:cs="Times New Roman"/>
          <w:sz w:val="24"/>
        </w:rP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pPr>
        <w:pStyle w:val="FigureCaption"/>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trPr>
          <w:jc w:val="center"/>
        </w:trPr>
        <w:tc>
          <w:tcPr>
            <w:tcW w:w="4248" w:type="dxa"/>
          </w:tcPr>
          <w:p>
            <w:pPr>
              <w:pStyle w:val="Normal"/>
            </w:pPr>
            <w:r>
              <w:rPr>
                <w:b/>
                <w:sz w:val="28"/>
                <w:szCs w:val="26"/>
                <w:lang w:val="en-US" w:eastAsia="en-US" w:bidi="ar-SA"/>
                <w:rFonts w:ascii="Times New Roman" w:hAnsi="Times New Roman" w:eastAsia="Times New Roman" w:cs="Times New Roman"/>
              </w:rPr>
              <w:t>Engagement metric</w:t>
            </w:r>
          </w:p>
        </w:tc>
        <w:tc>
          <w:tcPr>
            <w:tcW w:w="4247" w:type="dxa"/>
          </w:tcPr>
          <w:p>
            <w:pPr>
              <w:pStyle w:val="Normal"/>
            </w:pPr>
            <w:r>
              <w:rPr>
                <w:b/>
                <w:sz w:val="28"/>
                <w:szCs w:val="26"/>
                <w:lang w:val="en-US" w:eastAsia="en-US" w:bidi="ar-SA"/>
                <w:rFonts w:ascii="Times New Roman" w:hAnsi="Times New Roman" w:eastAsia="Times New Roman" w:cs="Times New Roman"/>
              </w:rPr>
              <w:t>Value</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Low engagement (≤ 3 cycles)</w:t>
            </w:r>
          </w:p>
        </w:tc>
        <w:tc>
          <w:tcPr>
            <w:tcW w:w="4247" w:type="dxa"/>
          </w:tcPr>
          <w:p>
            <w:pPr>
              <w:pStyle w:val="Normal"/>
            </w:pPr>
            <w:r>
              <w:rPr>
                <w:sz w:val="20"/>
                <w:szCs w:val="22"/>
                <w:lang w:val="en-US" w:eastAsia="en-US" w:bidi="ar-SA"/>
                <w:rFonts w:ascii="Times New Roman" w:hAnsi="Times New Roman" w:eastAsia="Times New Roman" w:cs="Times New Roman"/>
              </w:rPr>
              <w:t>21/30 (70%)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Sustained (≥ 4 cycles)</w:t>
            </w:r>
          </w:p>
        </w:tc>
        <w:tc>
          <w:tcPr>
            <w:tcW w:w="4247" w:type="dxa"/>
          </w:tcPr>
          <w:p>
            <w:pPr>
              <w:pStyle w:val="Normal"/>
            </w:pPr>
            <w:r>
              <w:rPr>
                <w:sz w:val="20"/>
                <w:szCs w:val="22"/>
                <w:lang w:val="en-US" w:eastAsia="en-US" w:bidi="ar-SA"/>
                <w:rFonts w:ascii="Times New Roman" w:hAnsi="Times New Roman" w:eastAsia="Times New Roman" w:cs="Times New Roman"/>
              </w:rPr>
              <w:t>9/30 (30%)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Single-session exits</w:t>
            </w:r>
          </w:p>
        </w:tc>
        <w:tc>
          <w:tcPr>
            <w:tcW w:w="4247" w:type="dxa"/>
          </w:tcPr>
          <w:p>
            <w:pPr>
              <w:pStyle w:val="Normal"/>
            </w:pPr>
            <w:r>
              <w:rPr>
                <w:sz w:val="20"/>
                <w:szCs w:val="22"/>
                <w:lang w:val="en-US" w:eastAsia="en-US" w:bidi="ar-SA"/>
                <w:rFonts w:ascii="Times New Roman" w:hAnsi="Times New Roman" w:eastAsia="Times New Roman" w:cs="Times New Roman"/>
              </w:rPr>
              <w:t>8/30 (27%)</w:t>
            </w:r>
          </w:p>
        </w:tc>
      </w:tr>
      <w:tr>
        <w:trPr>
          <w:jc w:val="center"/>
        </w:trPr>
        <w:tc>
          <w:tcPr>
            <w:tcW w:w="4248"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4247"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pPr>
        <w:pStyle w:val="Normal"/>
      </w:pPr>
      <w:r>
        <w:rPr>
          <w:szCs w:val="22"/>
          <w:lang w:val="en-US" w:eastAsia="en-US" w:bidi="ar-SA"/>
          <w:rFonts w:ascii="Times New Roman" w:hAnsi="Times New Roman" w:eastAsia="Times New Roman" w:cs="Times New Roman"/>
          <w:sz w:val="24"/>
        </w:rP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pPr>
        <w:jc w:val="center"/>
      </w:pPr>
      <w:bookmarkStart w:id="88" w:name="_Toc232024700"/>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bookmarkEnd w:id="88"/>
    </w:p>
    <w:p w14:paraId="2E16D01A" w14:textId="77777777" w:rsidR="00EE7E37" w:rsidRDefault="00000000">
      <w:pPr>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ns8:shadowObscured/>
                      </a:ext>
                    </a:extLs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5.5A Translating the Findings into Design Priorities: A QFD Pipeline</w:t>
      </w:r>
    </w:p>
    <w:p>
      <w:pPr>
        <w:pStyle w:val="Normal"/>
      </w:pPr>
      <w:r>
        <w:rPr>
          <w:szCs w:val="22"/>
          <w:lang w:val="en-US" w:eastAsia="en-US" w:bidi="ar-SA"/>
          <w:rFonts w:ascii="Times New Roman" w:hAnsi="Times New Roman" w:eastAsia="Times New Roman" w:cs="Times New Roman"/>
          <w:sz w:val="24"/>
        </w:rP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pPr>
        <w:pStyle w:val="Normal"/>
      </w:pPr>
      <w:r>
        <w:rPr>
          <w:szCs w:val="22"/>
          <w:lang w:val="en-US" w:eastAsia="en-US" w:bidi="ar-SA"/>
          <w:rFonts w:ascii="Times New Roman" w:hAnsi="Times New Roman" w:eastAsia="Times New Roman" w:cs="Times New Roman"/>
          <w:sz w:val="24"/>
        </w:rP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FigureCaption"/>
      </w:pPr>
      <w:r>
        <w:rPr>
          <w:sz w:val="24"/>
          <w:szCs w:val="22"/>
          <w:lang w:val="en-US" w:eastAsia="en-US" w:bidi="ar-SA"/>
          <w:rFonts w:ascii="Times New Roman" w:hAnsi="Times New Roman" w:eastAsia="Times New Roman" w:cs="Times New Roman"/>
          <w:i/>
          <w:b/>
        </w:rP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pPr>
              <w:pStyle w:val="Normal"/>
            </w:pPr>
            <w:r>
              <w:rPr>
                <w:b/>
                <w:sz w:val="28"/>
                <w:szCs w:val="26"/>
                <w:lang w:val="en-US" w:eastAsia="en-US" w:bidi="ar-SA"/>
                <w:rFonts w:ascii="Times New Roman" w:hAnsi="Times New Roman" w:eastAsia="Times New Roman" w:cs="Times New Roman"/>
              </w:rPr>
              <w:t>User need (voice of the user)</w:t>
            </w:r>
          </w:p>
        </w:tc>
        <w:tc>
          <w:tcPr>
            <w:tcW w:type="dxa" w:w="1215"/>
          </w:tcPr>
          <w:p>
            <w:pPr>
              <w:pStyle w:val="Normal"/>
            </w:pPr>
            <w:r>
              <w:rPr>
                <w:b/>
                <w:sz w:val="28"/>
                <w:szCs w:val="26"/>
                <w:lang w:val="en-US" w:eastAsia="en-US" w:bidi="ar-SA"/>
                <w:rFonts w:ascii="Times New Roman" w:hAnsi="Times New Roman" w:eastAsia="Times New Roman" w:cs="Times New Roman"/>
              </w:rPr>
              <w:t>Evidence from the data</w:t>
            </w:r>
          </w:p>
        </w:tc>
        <w:tc>
          <w:tcPr>
            <w:tcW w:type="dxa" w:w="1215"/>
          </w:tcPr>
          <w:p>
            <w:pPr>
              <w:pStyle w:val="Normal"/>
            </w:pPr>
            <w:r>
              <w:rPr>
                <w:b/>
                <w:sz w:val="28"/>
                <w:szCs w:val="26"/>
                <w:lang w:val="en-US" w:eastAsia="en-US" w:bidi="ar-SA"/>
                <w:rFonts w:ascii="Times New Roman" w:hAnsi="Times New Roman" w:eastAsia="Times New Roman" w:cs="Times New Roman"/>
              </w:rPr>
              <w:t>Construct</w:t>
            </w:r>
          </w:p>
        </w:tc>
        <w:tc>
          <w:tcPr>
            <w:tcW w:type="dxa" w:w="1215"/>
          </w:tcPr>
          <w:p>
            <w:pPr>
              <w:pStyle w:val="Normal"/>
            </w:pPr>
            <w:r>
              <w:rPr>
                <w:b/>
                <w:sz w:val="28"/>
                <w:szCs w:val="26"/>
                <w:lang w:val="en-US" w:eastAsia="en-US" w:bidi="ar-SA"/>
                <w:rFonts w:ascii="Times New Roman" w:hAnsi="Times New Roman" w:eastAsia="Times New Roman" w:cs="Times New Roman"/>
              </w:rPr>
              <w:t>Adaptive difficulty (L2)</w:t>
            </w:r>
          </w:p>
        </w:tc>
        <w:tc>
          <w:tcPr>
            <w:tcW w:type="dxa" w:w="1215"/>
          </w:tcPr>
          <w:p>
            <w:pPr>
              <w:pStyle w:val="Normal"/>
            </w:pPr>
            <w:r>
              <w:rPr>
                <w:b/>
                <w:sz w:val="28"/>
                <w:szCs w:val="26"/>
                <w:lang w:val="en-US" w:eastAsia="en-US" w:bidi="ar-SA"/>
                <w:rFonts w:ascii="Times New Roman" w:hAnsi="Times New Roman" w:eastAsia="Times New Roman" w:cs="Times New Roman"/>
              </w:rPr>
              <w:t>Loss-free states</w:t>
            </w:r>
          </w:p>
        </w:tc>
        <w:tc>
          <w:tcPr>
            <w:tcW w:type="dxa" w:w="1215"/>
          </w:tcPr>
          <w:p>
            <w:pPr>
              <w:pStyle w:val="Normal"/>
            </w:pPr>
            <w:r>
              <w:rPr>
                <w:b/>
                <w:sz w:val="28"/>
                <w:szCs w:val="26"/>
                <w:lang w:val="en-US" w:eastAsia="en-US" w:bidi="ar-SA"/>
                <w:rFonts w:ascii="Times New Roman" w:hAnsi="Times New Roman" w:eastAsia="Times New Roman" w:cs="Times New Roman"/>
              </w:rPr>
              <w:t>Trajectory display (L5)</w:t>
            </w:r>
          </w:p>
        </w:tc>
        <w:tc>
          <w:tcPr>
            <w:tcW w:type="dxa" w:w="1215"/>
          </w:tcPr>
          <w:p>
            <w:pPr>
              <w:pStyle w:val="Normal"/>
            </w:pPr>
            <w:r>
              <w:rPr>
                <w:b/>
                <w:sz w:val="28"/>
                <w:szCs w:val="26"/>
                <w:lang w:val="en-US" w:eastAsia="en-US" w:bidi="ar-SA"/>
                <w:rFonts w:ascii="Times New Roman" w:hAnsi="Times New Roman" w:eastAsia="Times New Roman" w:cs="Times New Roman"/>
              </w:rPr>
              <w:t>Coaching (L6)</w:t>
            </w:r>
          </w:p>
        </w:tc>
      </w:tr>
      <w:tr>
        <w:tc>
          <w:tcPr>
            <w:tcW w:type="dxa" w:w="1215"/>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1215"/>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1215"/>
          </w:tcPr>
          <w:p>
            <w:pPr>
              <w:pStyle w:val="Normal"/>
            </w:pPr>
            <w:r>
              <w:rPr>
                <w:sz w:val="20"/>
                <w:szCs w:val="22"/>
                <w:lang w:val="en-US" w:eastAsia="en-US" w:bidi="ar-SA"/>
                <w:rFonts w:ascii="Times New Roman" w:hAnsi="Times New Roman" w:eastAsia="Times New Roman" w:cs="Times New Roman"/>
              </w:rPr>
              <w:t>Flow / PEOU (TAM)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1215"/>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1215"/>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Visible personal progress</w:t>
            </w:r>
          </w:p>
        </w:tc>
        <w:tc>
          <w:tcPr>
            <w:tcW w:type="dxa" w:w="1215"/>
          </w:tcPr>
          <w:p>
            <w:pPr>
              <w:pStyle w:val="Normal"/>
            </w:pPr>
            <w:r>
              <w:rPr>
                <w:sz w:val="20"/>
                <w:szCs w:val="22"/>
                <w:lang w:val="en-US" w:eastAsia="en-US" w:bidi="ar-SA"/>
                <w:rFonts w:ascii="Times New Roman" w:hAnsi="Times New Roman" w:eastAsia="Times New Roman" w:cs="Times New Roman"/>
              </w:rPr>
              <w:t>Recorded index and self-report diverge (5/8 single-session positive change, 2/8 felt improvement)</w:t>
            </w:r>
          </w:p>
        </w:tc>
        <w:tc>
          <w:tcPr>
            <w:tcW w:type="dxa" w:w="1215"/>
          </w:tcPr>
          <w:p>
            <w:pPr>
              <w:pStyle w:val="Normal"/>
            </w:pPr>
            <w:r>
              <w:rPr>
                <w:sz w:val="20"/>
                <w:szCs w:val="22"/>
                <w:lang w:val="en-US" w:eastAsia="en-US" w:bidi="ar-SA"/>
                <w:rFonts w:ascii="Times New Roman" w:hAnsi="Times New Roman" w:eastAsia="Times New Roman" w:cs="Times New Roman"/>
              </w:rPr>
              <w:t>Competence (SDT) / D2</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1215"/>
          </w:tcPr>
          <w:p>
            <w:pPr>
              <w:pStyle w:val="Normal"/>
            </w:pPr>
            <w:r>
              <w:rPr>
                <w:sz w:val="20"/>
                <w:szCs w:val="22"/>
                <w:lang w:val="en-US" w:eastAsia="en-US" w:bidi="ar-SA"/>
                <w:rFonts w:ascii="Times New Roman" w:hAnsi="Times New Roman" w:eastAsia="Times New Roman" w:cs="Times New Roman"/>
              </w:rPr>
              <w:t>60.0% self-reported improvement; satisfaction associated with staying</w:t>
            </w:r>
          </w:p>
        </w:tc>
        <w:tc>
          <w:tcPr>
            <w:tcW w:type="dxa" w:w="1215"/>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1215"/>
          </w:tcPr>
          <w:p>
            <w:pPr>
              <w:pStyle w:val="Normal"/>
            </w:pPr>
            <w:r>
              <w:rPr>
                <w:sz w:val="20"/>
                <w:szCs w:val="22"/>
                <w:lang w:val="en-US" w:eastAsia="en-US" w:bidi="ar-SA"/>
                <w:rFonts w:ascii="Times New Roman" w:hAnsi="Times New Roman" w:eastAsia="Times New Roman" w:cs="Times New Roman"/>
              </w:rPr>
              <w:t>Coin loop sustained play in completers (≥4 cycles: 9/30)</w:t>
            </w:r>
          </w:p>
        </w:tc>
        <w:tc>
          <w:tcPr>
            <w:tcW w:type="dxa" w:w="1215"/>
          </w:tcPr>
          <w:p>
            <w:pPr>
              <w:pStyle w:val="Normal"/>
            </w:pPr>
            <w:r>
              <w:rPr>
                <w:sz w:val="20"/>
                <w:szCs w:val="22"/>
                <w:lang w:val="en-US" w:eastAsia="en-US" w:bidi="ar-SA"/>
                <w:rFonts w:ascii="Times New Roman" w:hAnsi="Times New Roman" w:eastAsia="Times New Roman" w:cs="Times New Roman"/>
              </w:rPr>
              <w:t>Learn-to-earn / D4</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r>
      <w:tr>
        <w:tc>
          <w:tcPr>
            <w:tcW w:type="dxa" w:w="1215"/>
          </w:tcPr>
          <w:p>
            <w:pPr>
              <w:pStyle w:val="Normal"/>
            </w:pPr>
            <w:r>
              <w:rPr>
                <w:sz w:val="20"/>
                <w:szCs w:val="22"/>
                <w:lang w:val="en-US" w:eastAsia="en-US" w:bidi="ar-SA"/>
                <w:rFonts w:ascii="Times New Roman" w:hAnsi="Times New Roman" w:eastAsia="Times New Roman" w:cs="Times New Roman"/>
              </w:rPr>
              <w:t>A reason to come back</w:t>
            </w:r>
          </w:p>
        </w:tc>
        <w:tc>
          <w:tcPr>
            <w:tcW w:type="dxa" w:w="1215"/>
          </w:tcPr>
          <w:p>
            <w:pPr>
              <w:pStyle w:val="Normal"/>
            </w:pPr>
            <w:r>
              <w:rPr>
                <w:sz w:val="20"/>
                <w:szCs w:val="22"/>
                <w:lang w:val="en-US" w:eastAsia="en-US" w:bidi="ar-SA"/>
                <w:rFonts w:ascii="Times New Roman" w:hAnsi="Times New Roman" w:eastAsia="Times New Roman" w:cs="Times New Roman"/>
              </w:rPr>
              <w:t>No observed return in Stage 2; Stage-3 decoupled cohort returned 15/23</w:t>
            </w:r>
          </w:p>
        </w:tc>
        <w:tc>
          <w:tcPr>
            <w:tcW w:type="dxa" w:w="1215"/>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bl>
    <w:p>
      <w:pPr>
        <w:pStyle w:val="Normal"/>
      </w:pPr>
      <w:r>
        <w:rPr>
          <w:szCs w:val="22"/>
          <w:lang w:val="en-US" w:eastAsia="en-US" w:bidi="ar-SA"/>
          <w:rFonts w:ascii="Times New Roman" w:hAnsi="Times New Roman" w:eastAsia="Times New Roman" w:cs="Times New Roman"/>
          <w:sz w:val="24"/>
        </w:rP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5.6 The F4 Cluster and the Objective-Score-Improvement/Non-Return Paradox</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pPr>
        <w:pStyle w:val="Heading2"/>
      </w:pPr>
      <w:bookmarkStart w:id="91" w:name="_Toc23202458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was measured once before and once after the window on a single instrument whose short-interval test-retest variability is non-trivial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joins the baseline battery in the confirmatory study; the embedded investigator was not complemented by an independent observer; and the clinical meaning of short-term index change is a question this thesis deliberately leaves to clinical colleagues.</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Chapter 6 Stage 3 — Participant-Facing Decoupling: Between-Cohort Evidence for a Frame-Sensitive Account</w:t>
      </w:r>
    </w:p>
    <w:p>
      <w:pPr>
        <w:pStyle w:val="Heading2"/>
      </w:pPr>
      <w:bookmarkStart w:id="93" w:name="_Toc23202458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pPr>
        <w:pStyle w:val="Heading2"/>
      </w:pPr>
      <w:bookmarkStart w:id="94" w:name="_Toc232024586"/>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recruitment and session language described a coordination challenge,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w:t>
      </w:r>
    </w:p>
    <w:p>
      <w:pPr>
        <w:pStyle w:val="Heading2"/>
      </w:pPr>
      <w:bookmarkStart w:id="95" w:name="_Toc23202458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work contacts, a charity community network, university support channels and working peers in medical centres — in three age bands: 38 aged 25-44, 41 aged 45-64 and 41 aged 65-80. Recruitment materials referred to a coordination challenge and did not use medical or fall-prevention language.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reduces, though it does not eliminate, the risk that participation reflected personal obligation to the researcher.</w:t>
      </w:r>
    </w:p>
    <w:p>
      <w:pPr>
        <w:pStyle w:val="Normal"/>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 an incomplete first session, or no second session within the study window. A return denotes a subsequently logged completed session after an initial dropout. Observed non-return denotes an initial dropout with no returned session inside the study window, and retention is its complement over the cohort. The chapter reports the aggregate record compiled from the returned files. The data logbook (Appendix G, item G.3) holds the participant-level compilation from the returned e-mails; its reconciliation sheet recomputes every indicator from the participant-level entries, so the compilation can be verified against the record.</w:t>
      </w:r>
    </w:p>
    <w:p>
      <w:pPr>
        <w:pStyle w:val="Heading2"/>
      </w:pPr>
      <w:bookmarkStart w:id="96" w:name="_Toc23202458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6.5 Findings: A Substantial Behavioural Shift</w:t>
      </w:r>
      <w:bookmarkEnd w:id="96"/>
    </w:p>
    <w:p>
      <w:pPr>
        <w:pStyle w:val="FigureCaption"/>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Engagement metric</w:t>
            </w:r>
          </w:p>
        </w:tc>
        <w:tc>
          <w:tcPr>
            <w:tcW w:w="2831" w:type="dxa"/>
          </w:tcPr>
          <w:p>
            <w:pPr>
              <w:pStyle w:val="Normal"/>
            </w:pPr>
            <w:r>
              <w:rPr>
                <w:b/>
                <w:sz w:val="28"/>
                <w:szCs w:val="26"/>
                <w:lang w:val="en-US" w:eastAsia="en-US" w:bidi="ar-SA"/>
                <w:rFonts w:ascii="Times New Roman" w:hAnsi="Times New Roman" w:eastAsia="Times New Roman" w:cs="Times New Roman"/>
              </w:rPr>
              <w:t>Count</w:t>
            </w:r>
          </w:p>
        </w:tc>
        <w:tc>
          <w:tcPr>
            <w:tcW w:w="2832" w:type="dxa"/>
          </w:tcPr>
          <w:p>
            <w:pPr>
              <w:pStyle w:val="Normal"/>
            </w:pPr>
            <w:r>
              <w:rPr>
                <w:b/>
                <w:sz w:val="28"/>
                <w:szCs w:val="26"/>
                <w:lang w:val="en-US" w:eastAsia="en-US" w:bidi="ar-SA"/>
                <w:rFonts w:ascii="Times New Roman" w:hAnsi="Times New Roman" w:eastAsia="Times New Roman" w:cs="Times New Roman"/>
              </w:rPr>
              <w:t>Percentage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Initial dropout</w:t>
            </w:r>
          </w:p>
        </w:tc>
        <w:tc>
          <w:tcPr>
            <w:tcW w:w="2831" w:type="dxa"/>
          </w:tcPr>
          <w:p>
            <w:pPr>
              <w:pStyle w:val="Normal"/>
            </w:pPr>
            <w:r>
              <w:rPr>
                <w:sz w:val="20"/>
                <w:szCs w:val="22"/>
                <w:lang w:val="en-US" w:eastAsia="en-US" w:bidi="ar-SA"/>
                <w:rFonts w:ascii="Times New Roman" w:hAnsi="Times New Roman" w:eastAsia="Times New Roman" w:cs="Times New Roman"/>
              </w:rPr>
              <w:t>23/120</w:t>
            </w:r>
          </w:p>
        </w:tc>
        <w:tc>
          <w:tcPr>
            <w:tcW w:w="2832" w:type="dxa"/>
          </w:tcPr>
          <w:p>
            <w:pPr>
              <w:pStyle w:val="Normal"/>
            </w:pPr>
            <w:r>
              <w:rPr>
                <w:sz w:val="20"/>
                <w:szCs w:val="22"/>
                <w:lang w:val="en-US" w:eastAsia="en-US" w:bidi="ar-SA"/>
                <w:rFonts w:ascii="Times New Roman" w:hAnsi="Times New Roman" w:eastAsia="Times New Roman" w:cs="Times New Roman"/>
              </w:rPr>
              <w:t>19.2</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Returned after dropout</w:t>
            </w:r>
          </w:p>
        </w:tc>
        <w:tc>
          <w:tcPr>
            <w:tcW w:w="2831" w:type="dxa"/>
          </w:tcPr>
          <w:p>
            <w:pPr>
              <w:pStyle w:val="Normal"/>
            </w:pPr>
            <w:r>
              <w:rPr>
                <w:sz w:val="20"/>
                <w:szCs w:val="22"/>
                <w:lang w:val="en-US" w:eastAsia="en-US" w:bidi="ar-SA"/>
                <w:rFonts w:ascii="Times New Roman" w:hAnsi="Times New Roman" w:eastAsia="Times New Roman" w:cs="Times New Roman"/>
              </w:rPr>
              <w:t>15/23</w:t>
            </w:r>
          </w:p>
        </w:tc>
        <w:tc>
          <w:tcPr>
            <w:tcW w:w="2832" w:type="dxa"/>
          </w:tcPr>
          <w:p>
            <w:pPr>
              <w:pStyle w:val="Normal"/>
            </w:pPr>
            <w:r>
              <w:rPr>
                <w:sz w:val="20"/>
                <w:szCs w:val="22"/>
                <w:lang w:val="en-US" w:eastAsia="en-US" w:bidi="ar-SA"/>
                <w:rFonts w:ascii="Times New Roman" w:hAnsi="Times New Roman" w:eastAsia="Times New Roman" w:cs="Times New Roman"/>
              </w:rPr>
              <w:t>65.2</w:t>
            </w:r>
          </w:p>
        </w:tc>
      </w:tr>
      <w:tr>
        <w:trPr>
          <w:jc w:val="center"/>
        </w:trPr>
        <w:tc>
          <w:tcPr>
            <w:tcW w:w="2832"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2831" w:type="dxa"/>
          </w:tcPr>
          <w:p>
            <w:pPr>
              <w:pStyle w:val="Normal"/>
            </w:pPr>
            <w:r>
              <w:rPr>
                <w:sz w:val="20"/>
                <w:szCs w:val="22"/>
                <w:lang w:val="en-US" w:eastAsia="en-US" w:bidi="ar-SA"/>
                <w:rFonts w:ascii="Times New Roman" w:hAnsi="Times New Roman" w:eastAsia="Times New Roman" w:cs="Times New Roman"/>
              </w:rPr>
              <w:t>8/120</w:t>
            </w:r>
          </w:p>
        </w:tc>
        <w:tc>
          <w:tcPr>
            <w:tcW w:w="2832" w:type="dxa"/>
          </w:tcPr>
          <w:p>
            <w:pPr>
              <w:pStyle w:val="Normal"/>
            </w:pPr>
            <w:r>
              <w:rPr>
                <w:sz w:val="20"/>
                <w:szCs w:val="22"/>
                <w:lang w:val="en-US" w:eastAsia="en-US" w:bidi="ar-SA"/>
                <w:rFonts w:ascii="Times New Roman" w:hAnsi="Times New Roman" w:eastAsia="Times New Roman" w:cs="Times New Roman"/>
              </w:rPr>
              <w:t>6.7</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Overall retention</w:t>
            </w:r>
          </w:p>
        </w:tc>
        <w:tc>
          <w:tcPr>
            <w:tcW w:w="2831" w:type="dxa"/>
          </w:tcPr>
          <w:p>
            <w:pPr>
              <w:pStyle w:val="Normal"/>
            </w:pPr>
            <w:r>
              <w:rPr>
                <w:sz w:val="20"/>
                <w:szCs w:val="22"/>
                <w:lang w:val="en-US" w:eastAsia="en-US" w:bidi="ar-SA"/>
                <w:rFonts w:ascii="Times New Roman" w:hAnsi="Times New Roman" w:eastAsia="Times New Roman" w:cs="Times New Roman"/>
              </w:rPr>
              <w:t>112/120</w:t>
            </w:r>
          </w:p>
        </w:tc>
        <w:tc>
          <w:tcPr>
            <w:tcW w:w="2832" w:type="dxa"/>
          </w:tcPr>
          <w:p>
            <w:pPr>
              <w:pStyle w:val="Normal"/>
            </w:pPr>
            <w:r>
              <w:rPr>
                <w:sz w:val="20"/>
                <w:szCs w:val="22"/>
                <w:lang w:val="en-US" w:eastAsia="en-US" w:bidi="ar-SA"/>
                <w:rFonts w:ascii="Times New Roman" w:hAnsi="Times New Roman" w:eastAsia="Times New Roman" w:cs="Times New Roman"/>
              </w:rPr>
              <w:t>93.3</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 rate among initial dropouts</w:t>
            </w:r>
          </w:p>
        </w:tc>
        <w:tc>
          <w:tcPr>
            <w:tcW w:w="2831" w:type="dxa"/>
          </w:tcPr>
          <w:p>
            <w:pPr>
              <w:pStyle w:val="Normal"/>
            </w:pPr>
            <w:r>
              <w:rPr>
                <w:sz w:val="20"/>
                <w:szCs w:val="22"/>
                <w:lang w:val="en-US" w:eastAsia="en-US" w:bidi="ar-SA"/>
                <w:rFonts w:ascii="Times New Roman" w:hAnsi="Times New Roman" w:eastAsia="Times New Roman" w:cs="Times New Roman"/>
              </w:rPr>
              <w:t>—</w:t>
            </w:r>
          </w:p>
        </w:tc>
        <w:tc>
          <w:tcPr>
            <w:tcW w:w="2832" w:type="dxa"/>
          </w:tcPr>
          <w:p>
            <w:pPr>
              <w:pStyle w:val="Normal"/>
            </w:pPr>
            <w:r>
              <w:rPr>
                <w:sz w:val="20"/>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pPr>
        <w:pStyle w:val="FigureCaption"/>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trPr>
          <w:jc w:val="center"/>
        </w:trPr>
        <w:tc>
          <w:tcPr>
            <w:tcW w:w="1416" w:type="dxa"/>
          </w:tcPr>
          <w:p>
            <w:pPr>
              <w:pStyle w:val="Normal"/>
            </w:pPr>
            <w:r>
              <w:rPr>
                <w:szCs w:val="26"/>
                <w:lang w:val="en-US" w:eastAsia="en-US" w:bidi="ar-SA"/>
                <w:rFonts w:ascii="Times New Roman" w:hAnsi="Times New Roman" w:eastAsia="Times New Roman" w:cs="Times New Roman"/>
                <w:sz w:val="28"/>
                <w:b/>
              </w:rPr>
              <w:t>Age band</w:t>
            </w:r>
          </w:p>
        </w:tc>
        <w:tc>
          <w:tcPr>
            <w:tcW w:w="1415" w:type="dxa"/>
          </w:tcPr>
          <w:p>
            <w:pPr>
              <w:pStyle w:val="Normal"/>
            </w:pPr>
            <w:r>
              <w:rPr>
                <w:b/>
                <w:sz w:val="28"/>
                <w:szCs w:val="26"/>
                <w:lang w:val="en-US" w:eastAsia="en-US" w:bidi="ar-SA"/>
                <w:rFonts w:ascii="Times New Roman" w:hAnsi="Times New Roman" w:eastAsia="Times New Roman" w:cs="Times New Roman"/>
              </w:rPr>
              <w:t>n</w:t>
            </w:r>
          </w:p>
        </w:tc>
        <w:tc>
          <w:tcPr>
            <w:tcW w:w="1416" w:type="dxa"/>
          </w:tcPr>
          <w:p>
            <w:pPr>
              <w:pStyle w:val="Normal"/>
            </w:pPr>
            <w:r>
              <w:rPr>
                <w:b/>
                <w:sz w:val="28"/>
                <w:szCs w:val="26"/>
                <w:lang w:val="en-US" w:eastAsia="en-US" w:bidi="ar-SA"/>
                <w:rFonts w:ascii="Times New Roman" w:hAnsi="Times New Roman" w:eastAsia="Times New Roman" w:cs="Times New Roman"/>
              </w:rPr>
              <w:t>Initial dropout</w:t>
            </w:r>
          </w:p>
        </w:tc>
        <w:tc>
          <w:tcPr>
            <w:tcW w:w="1416" w:type="dxa"/>
          </w:tcPr>
          <w:p>
            <w:pPr>
              <w:pStyle w:val="Normal"/>
            </w:pPr>
            <w:r>
              <w:rPr>
                <w:b/>
                <w:sz w:val="28"/>
                <w:szCs w:val="26"/>
                <w:lang w:val="en-US" w:eastAsia="en-US" w:bidi="ar-SA"/>
                <w:rFonts w:ascii="Times New Roman" w:hAnsi="Times New Roman" w:eastAsia="Times New Roman" w:cs="Times New Roman"/>
              </w:rPr>
              <w:t>Returned</w:t>
            </w:r>
          </w:p>
        </w:tc>
        <w:tc>
          <w:tcPr>
            <w:tcW w:w="1416" w:type="dxa"/>
          </w:tcPr>
          <w:p>
            <w:pPr>
              <w:pStyle w:val="Normal"/>
            </w:pPr>
            <w:r>
              <w:rPr>
                <w:szCs w:val="22"/>
                <w:lang w:val="en-US" w:eastAsia="en-US" w:bidi="ar-SA"/>
                <w:rFonts w:ascii="Times New Roman" w:hAnsi="Times New Roman" w:eastAsia="Times New Roman" w:cs="Times New Roman"/>
                <w:sz w:val="24"/>
              </w:rPr>
              <w:t>Observed non-return</w:t>
            </w:r>
          </w:p>
        </w:tc>
        <w:tc>
          <w:tcPr>
            <w:tcW w:w="1416" w:type="dxa"/>
          </w:tcPr>
          <w:p>
            <w:pPr>
              <w:pStyle w:val="Normal"/>
            </w:pPr>
            <w:r>
              <w:rPr>
                <w:b/>
                <w:sz w:val="28"/>
                <w:szCs w:val="26"/>
                <w:lang w:val="en-US" w:eastAsia="en-US" w:bidi="ar-SA"/>
                <w:rFonts w:ascii="Times New Roman" w:hAnsi="Times New Roman" w:eastAsia="Times New Roman" w:cs="Times New Roman"/>
              </w:rPr>
              <w:t>Retention</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25–44</w:t>
            </w:r>
          </w:p>
        </w:tc>
        <w:tc>
          <w:tcPr>
            <w:tcW w:w="1415" w:type="dxa"/>
          </w:tcPr>
          <w:p>
            <w:pPr>
              <w:pStyle w:val="Normal"/>
            </w:pPr>
            <w:r>
              <w:rPr>
                <w:szCs w:val="22"/>
                <w:lang w:val="en-US" w:eastAsia="en-US" w:bidi="ar-SA"/>
                <w:rFonts w:ascii="Times New Roman" w:hAnsi="Times New Roman" w:eastAsia="Times New Roman" w:cs="Times New Roman"/>
                <w:sz w:val="24"/>
              </w:rPr>
              <w:t>38</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0</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100.0%</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45–64</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7 (17.1%)</w:t>
            </w:r>
          </w:p>
        </w:tc>
        <w:tc>
          <w:tcPr>
            <w:tcW w:w="1416" w:type="dxa"/>
          </w:tcPr>
          <w:p>
            <w:pPr>
              <w:pStyle w:val="Normal"/>
            </w:pPr>
            <w:r>
              <w:rPr>
                <w:sz w:val="20"/>
                <w:szCs w:val="22"/>
                <w:lang w:val="en-US" w:eastAsia="en-US" w:bidi="ar-SA"/>
                <w:rFonts w:ascii="Times New Roman" w:hAnsi="Times New Roman" w:eastAsia="Times New Roman" w:cs="Times New Roman"/>
              </w:rPr>
              <w:t>5</w:t>
            </w:r>
          </w:p>
        </w:tc>
        <w:tc>
          <w:tcPr>
            <w:tcW w:w="1416" w:type="dxa"/>
          </w:tcPr>
          <w:p>
            <w:pPr>
              <w:pStyle w:val="Normal"/>
            </w:pPr>
            <w:r>
              <w:rPr>
                <w:szCs w:val="22"/>
                <w:lang w:val="en-US" w:eastAsia="en-US" w:bidi="ar-SA"/>
                <w:rFonts w:ascii="Times New Roman" w:hAnsi="Times New Roman" w:eastAsia="Times New Roman" w:cs="Times New Roman"/>
                <w:sz w:val="24"/>
              </w:rPr>
              <w:t>2 (4.9%)</w:t>
            </w:r>
          </w:p>
        </w:tc>
        <w:tc>
          <w:tcPr>
            <w:tcW w:w="1416" w:type="dxa"/>
          </w:tcPr>
          <w:p>
            <w:pPr>
              <w:pStyle w:val="Normal"/>
            </w:pPr>
            <w:r>
              <w:rPr>
                <w:szCs w:val="22"/>
                <w:lang w:val="en-US" w:eastAsia="en-US" w:bidi="ar-SA"/>
                <w:rFonts w:ascii="Times New Roman" w:hAnsi="Times New Roman" w:eastAsia="Times New Roman" w:cs="Times New Roman"/>
                <w:sz w:val="24"/>
              </w:rPr>
              <w:t>95.1%</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65–80</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16 (39.0%)</w:t>
            </w:r>
          </w:p>
        </w:tc>
        <w:tc>
          <w:tcPr>
            <w:tcW w:w="1416" w:type="dxa"/>
          </w:tcPr>
          <w:p>
            <w:pPr>
              <w:pStyle w:val="Normal"/>
            </w:pPr>
            <w:r>
              <w:rPr>
                <w:sz w:val="20"/>
                <w:szCs w:val="22"/>
                <w:lang w:val="en-US" w:eastAsia="en-US" w:bidi="ar-SA"/>
                <w:rFonts w:ascii="Times New Roman" w:hAnsi="Times New Roman" w:eastAsia="Times New Roman" w:cs="Times New Roman"/>
              </w:rPr>
              <w:t>10</w:t>
            </w:r>
          </w:p>
        </w:tc>
        <w:tc>
          <w:tcPr>
            <w:tcW w:w="1416" w:type="dxa"/>
          </w:tcPr>
          <w:p>
            <w:pPr>
              <w:pStyle w:val="Normal"/>
            </w:pPr>
            <w:r>
              <w:rPr>
                <w:szCs w:val="22"/>
                <w:lang w:val="en-US" w:eastAsia="en-US" w:bidi="ar-SA"/>
                <w:rFonts w:ascii="Times New Roman" w:hAnsi="Times New Roman" w:eastAsia="Times New Roman" w:cs="Times New Roman"/>
                <w:sz w:val="24"/>
              </w:rPr>
              <w:t>6 (14.6%)</w:t>
            </w:r>
          </w:p>
        </w:tc>
        <w:tc>
          <w:tcPr>
            <w:tcW w:w="1416" w:type="dxa"/>
          </w:tcPr>
          <w:p>
            <w:pPr>
              <w:pStyle w:val="Normal"/>
            </w:pPr>
            <w:r>
              <w:rPr>
                <w:szCs w:val="22"/>
                <w:lang w:val="en-US" w:eastAsia="en-US" w:bidi="ar-SA"/>
                <w:rFonts w:ascii="Times New Roman" w:hAnsi="Times New Roman" w:eastAsia="Times New Roman" w:cs="Times New Roman"/>
                <w:sz w:val="24"/>
              </w:rPr>
              <w:t>85.4%</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Total</w:t>
            </w:r>
          </w:p>
        </w:tc>
        <w:tc>
          <w:tcPr>
            <w:tcW w:w="1415" w:type="dxa"/>
          </w:tcPr>
          <w:p>
            <w:pPr>
              <w:pStyle w:val="Normal"/>
            </w:pPr>
            <w:r>
              <w:rPr>
                <w:sz w:val="20"/>
                <w:szCs w:val="22"/>
                <w:lang w:val="en-US" w:eastAsia="en-US" w:bidi="ar-SA"/>
                <w:rFonts w:ascii="Times New Roman" w:hAnsi="Times New Roman" w:eastAsia="Times New Roman" w:cs="Times New Roman"/>
              </w:rPr>
              <w:t>120</w:t>
            </w:r>
          </w:p>
        </w:tc>
        <w:tc>
          <w:tcPr>
            <w:tcW w:w="1416" w:type="dxa"/>
          </w:tcPr>
          <w:p>
            <w:pPr>
              <w:pStyle w:val="Normal"/>
            </w:pPr>
            <w:r>
              <w:rPr>
                <w:sz w:val="20"/>
                <w:szCs w:val="22"/>
                <w:lang w:val="en-US" w:eastAsia="en-US" w:bidi="ar-SA"/>
                <w:rFonts w:ascii="Times New Roman" w:hAnsi="Times New Roman" w:eastAsia="Times New Roman" w:cs="Times New Roman"/>
              </w:rPr>
              <w:t>23 (19.2%)</w:t>
            </w:r>
          </w:p>
        </w:tc>
        <w:tc>
          <w:tcPr>
            <w:tcW w:w="1416" w:type="dxa"/>
          </w:tcPr>
          <w:p>
            <w:pPr>
              <w:pStyle w:val="Normal"/>
            </w:pPr>
            <w:r>
              <w:rPr>
                <w:sz w:val="20"/>
                <w:szCs w:val="22"/>
                <w:lang w:val="en-US" w:eastAsia="en-US" w:bidi="ar-SA"/>
                <w:rFonts w:ascii="Times New Roman" w:hAnsi="Times New Roman" w:eastAsia="Times New Roman" w:cs="Times New Roman"/>
              </w:rPr>
              <w:t>15</w:t>
            </w:r>
          </w:p>
        </w:tc>
        <w:tc>
          <w:tcPr>
            <w:tcW w:w="1416" w:type="dxa"/>
          </w:tcPr>
          <w:p>
            <w:pPr>
              <w:pStyle w:val="Normal"/>
            </w:pPr>
            <w:r>
              <w:rPr>
                <w:sz w:val="20"/>
                <w:szCs w:val="22"/>
                <w:lang w:val="en-US" w:eastAsia="en-US" w:bidi="ar-SA"/>
                <w:rFonts w:ascii="Times New Roman" w:hAnsi="Times New Roman" w:eastAsia="Times New Roman" w:cs="Times New Roman"/>
              </w:rPr>
              <w:t>8 (6.7%)</w:t>
            </w:r>
          </w:p>
        </w:tc>
        <w:tc>
          <w:tcPr>
            <w:tcW w:w="1416" w:type="dxa"/>
          </w:tcPr>
          <w:p>
            <w:pPr>
              <w:pStyle w:val="Normal"/>
            </w:pPr>
            <w:r>
              <w:rPr>
                <w:sz w:val="20"/>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trPr>
          <w:jc w:val="center"/>
        </w:trPr>
        <w:tc>
          <w:tcPr>
            <w:tcW w:w="1701" w:type="dxa"/>
          </w:tcPr>
          <w:p>
            <w:pPr>
              <w:pStyle w:val="Normal"/>
            </w:pPr>
            <w:r>
              <w:rPr>
                <w:b/>
                <w:sz w:val="28"/>
                <w:szCs w:val="26"/>
                <w:lang w:val="en-US" w:eastAsia="en-US" w:bidi="ar-SA"/>
                <w:rFonts w:ascii="Times New Roman" w:hAnsi="Times New Roman" w:eastAsia="Times New Roman" w:cs="Times New Roman"/>
              </w:rPr>
              <w:t>Item</w:t>
            </w:r>
          </w:p>
        </w:tc>
        <w:tc>
          <w:tcPr>
            <w:tcW w:w="1699" w:type="dxa"/>
          </w:tcPr>
          <w:p>
            <w:pPr>
              <w:pStyle w:val="Normal"/>
            </w:pPr>
            <w:r>
              <w:rPr>
                <w:b/>
                <w:sz w:val="28"/>
                <w:szCs w:val="26"/>
                <w:lang w:val="en-US" w:eastAsia="en-US" w:bidi="ar-SA"/>
                <w:rFonts w:ascii="Times New Roman" w:hAnsi="Times New Roman" w:eastAsia="Times New Roman" w:cs="Times New Roman"/>
              </w:rPr>
              <w:t>Younger 25–44</w:t>
            </w:r>
          </w:p>
        </w:tc>
        <w:tc>
          <w:tcPr>
            <w:tcW w:w="1699" w:type="dxa"/>
          </w:tcPr>
          <w:p>
            <w:pPr>
              <w:pStyle w:val="Normal"/>
            </w:pPr>
            <w:r>
              <w:rPr>
                <w:b/>
                <w:sz w:val="28"/>
                <w:szCs w:val="26"/>
                <w:lang w:val="en-US" w:eastAsia="en-US" w:bidi="ar-SA"/>
                <w:rFonts w:ascii="Times New Roman" w:hAnsi="Times New Roman" w:eastAsia="Times New Roman" w:cs="Times New Roman"/>
              </w:rPr>
              <w:t>Middle 45–64</w:t>
            </w:r>
          </w:p>
        </w:tc>
        <w:tc>
          <w:tcPr>
            <w:tcW w:w="1698" w:type="dxa"/>
          </w:tcPr>
          <w:p>
            <w:pPr>
              <w:pStyle w:val="Normal"/>
            </w:pPr>
            <w:r>
              <w:rPr>
                <w:b/>
                <w:sz w:val="28"/>
                <w:szCs w:val="26"/>
                <w:lang w:val="en-US" w:eastAsia="en-US" w:bidi="ar-SA"/>
                <w:rFonts w:ascii="Times New Roman" w:hAnsi="Times New Roman" w:eastAsia="Times New Roman" w:cs="Times New Roman"/>
              </w:rPr>
              <w:t>Older 65–80</w:t>
            </w:r>
          </w:p>
        </w:tc>
        <w:tc>
          <w:tcPr>
            <w:tcW w:w="1698" w:type="dxa"/>
          </w:tcPr>
          <w:p>
            <w:pPr>
              <w:pStyle w:val="Normal"/>
            </w:pPr>
            <w:r>
              <w:rPr>
                <w:b/>
                <w:sz w:val="28"/>
                <w:szCs w:val="26"/>
                <w:lang w:val="en-US" w:eastAsia="en-US" w:bidi="ar-SA"/>
                <w:rFonts w:ascii="Times New Roman" w:hAnsi="Times New Roman" w:eastAsia="Times New Roman" w:cs="Times New Roman"/>
              </w:rPr>
              <w:t>Total</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71.7%</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0"/>
              </w:rPr>
              <w:t>Would use regularly if accessible</w:t>
            </w:r>
          </w:p>
        </w:tc>
        <w:tc>
          <w:tcPr>
            <w:tcW w:w="1699" w:type="dxa"/>
          </w:tcPr>
          <w:p>
            <w:pPr>
              <w:pStyle w:val="Normal"/>
            </w:pPr>
            <w:r>
              <w:rPr>
                <w:szCs w:val="22"/>
                <w:lang w:val="en-US" w:eastAsia="en-US" w:bidi="ar-SA"/>
                <w:rFonts w:ascii="Times New Roman" w:hAnsi="Times New Roman" w:eastAsia="Times New Roman" w:cs="Times New Roman"/>
                <w:sz w:val="24"/>
              </w:rPr>
              <w:t>65.8%</w:t>
            </w:r>
          </w:p>
        </w:tc>
        <w:tc>
          <w:tcPr>
            <w:tcW w:w="1699" w:type="dxa"/>
          </w:tcPr>
          <w:p>
            <w:pPr>
              <w:pStyle w:val="Normal"/>
            </w:pPr>
            <w:r>
              <w:rPr>
                <w:szCs w:val="22"/>
                <w:lang w:val="en-US" w:eastAsia="en-US" w:bidi="ar-SA"/>
                <w:rFonts w:ascii="Times New Roman" w:hAnsi="Times New Roman" w:eastAsia="Times New Roman" w:cs="Times New Roman"/>
                <w:sz w:val="24"/>
              </w:rPr>
              <w:t>68.3%</w:t>
            </w:r>
          </w:p>
        </w:tc>
        <w:tc>
          <w:tcPr>
            <w:tcW w:w="1698" w:type="dxa"/>
          </w:tcPr>
          <w:p>
            <w:pPr>
              <w:pStyle w:val="Normal"/>
            </w:pPr>
            <w:r>
              <w:rPr>
                <w:szCs w:val="22"/>
                <w:lang w:val="en-US" w:eastAsia="en-US" w:bidi="ar-SA"/>
                <w:rFonts w:ascii="Times New Roman" w:hAnsi="Times New Roman" w:eastAsia="Times New Roman" w:cs="Times New Roman"/>
                <w:sz w:val="24"/>
              </w:rPr>
              <w:t>56.1%</w:t>
            </w:r>
          </w:p>
        </w:tc>
        <w:tc>
          <w:tcPr>
            <w:tcW w:w="1698" w:type="dxa"/>
          </w:tcPr>
          <w:p>
            <w:pPr>
              <w:pStyle w:val="Normal"/>
            </w:pPr>
            <w:r>
              <w:rPr>
                <w:sz w:val="20"/>
                <w:szCs w:val="22"/>
                <w:lang w:val="en-US" w:eastAsia="en-US" w:bidi="ar-SA"/>
                <w:rFonts w:ascii="Times New Roman" w:hAnsi="Times New Roman" w:eastAsia="Times New Roman" w:cs="Times New Roman"/>
              </w:rPr>
              <w:t>63.3%</w:t>
            </w:r>
          </w:p>
        </w:tc>
      </w:tr>
    </w:tbl>
    <w:p>
      <w:pPr>
        <w:pStyle w:val="Normal"/>
        <w:spacing w:after="40"/>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w:t>
      </w:r>
    </w:p>
    <w:p>
      <w:pPr>
        <w:pStyle w:val="Normal"/>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jc w:val="center"/>
      </w:pPr>
      <w:bookmarkStart w:id="100" w:name="_Toc232024690"/>
      <w:r>
        <w:rPr>
          <w:sz w:val="24"/>
          <w:szCs w:val="22"/>
          <w:lang w:val="en-US" w:eastAsia="en-US" w:bidi="ar-SA"/>
          <w:rFonts w:ascii="Times New Roman" w:hAnsi="Times New Roman" w:eastAsia="Times New Roman" w:cs="Times New Roman"/>
          <w:i/>
          <w:b/>
        </w:rPr>
        <w:t>Figure 6.2. Return behaviour after initial dropout, by age band: 62.5% return rate in the 65–80 band.</w:t>
      </w:r>
      <w:bookmarkEnd w:id="100"/>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6.6 The Objective-Score-Improvement/Non-Return Paradox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pPr>
        <w:pStyle w:val="Normal"/>
        <w:jc w:val="both"/>
      </w:pPr>
      <w:r>
        <w:rPr>
          <w:szCs w:val="22"/>
          <w:lang w:val="en-US" w:eastAsia="en-US" w:bidi="ar-SA"/>
          <w:rFonts w:ascii="Times New Roman" w:hAnsi="Times New Roman" w:eastAsia="Times New Roman" w:cs="Times New Roman"/>
          <w:sz w:val="24"/>
        </w:rP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pPr>
        <w:pStyle w:val="Normal"/>
        <w:jc w:val="both"/>
      </w:pPr>
      <w:r>
        <w:rPr>
          <w:szCs w:val="22"/>
          <w:lang w:val="en-US" w:eastAsia="en-US" w:bidi="ar-SA"/>
          <w:rFonts w:ascii="Times New Roman" w:hAnsi="Times New Roman" w:eastAsia="Times New Roman" w:cs="Times New Roman"/>
          <w:sz w:val="24"/>
        </w:rP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jc w:val="center"/>
      </w:pPr>
      <w:bookmarkStart w:id="102" w:name="_Toc232024691"/>
      <w:r>
        <w:rPr>
          <w:sz w:val="24"/>
          <w:szCs w:val="22"/>
          <w:lang w:val="en-US" w:eastAsia="en-US" w:bidi="ar-SA"/>
          <w:rFonts w:ascii="Times New Roman" w:hAnsi="Times New Roman" w:eastAsia="Times New Roman" w:cs="Times New Roman"/>
          <w:i/>
          <w:b/>
        </w:rPr>
        <w:t>Figure 6.3. Retention versus regular-use intention by age band: the 29.3-pp commitment gap in the 65–80 band.</w:t>
      </w:r>
      <w:bookmarkEnd w:id="102"/>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6.8A The Commitment Gap Read Through Group Dynamics: An Expert Consultation</w:t>
      </w:r>
    </w:p>
    <w:p>
      <w:pPr>
        <w:pStyle w:val="Normal"/>
      </w:pPr>
      <w:r>
        <w:rPr>
          <w:szCs w:val="22"/>
          <w:lang w:val="en-US" w:eastAsia="en-US" w:bidi="ar-SA"/>
          <w:rFonts w:ascii="Times New Roman" w:hAnsi="Times New Roman" w:eastAsia="Times New Roman" w:cs="Times New Roman"/>
          <w:sz w:val="24"/>
        </w:rPr>
        <w:t>The interpretation of the commitment gap was examined after the empirical programme through a single expert consultation interview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pPr>
      <w:r>
        <w:rPr>
          <w:szCs w:val="22"/>
          <w:lang w:val="en-US" w:eastAsia="en-US" w:bidi="ar-SA"/>
          <w:rFonts w:ascii="Times New Roman" w:hAnsi="Times New Roman" w:eastAsia="Times New Roman" w:cs="Times New Roman"/>
          <w:sz w:val="24"/>
        </w:rP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3's design choices set the scope of what it can say, and the thesis is comfortable inside that scope. It is a between-cycle, between-cohort comparison, so it speaks in strong associations rather than isolated causes. The decoupling intervention is a coordinated package delivered through a change of platform and setting — an e-mailed HTML build played unsupervised at home — which is how real deployments change frames, but which also means that platform, input device and supervision changed alongside framing. The proposed mechanisms (mental accounting, loss aversion, identity protection, stereotype threat) await their direct measures; volunteers chose to take part,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w:t>
      </w:r>
    </w:p>
    <w:p>
      <w:pPr>
        <w:pStyle w:val="Heading2"/>
      </w:pPr>
      <w:bookmarkStart w:id="104" w:name="_Toc23202459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pPr>
        <w:pStyle w:val="Heading3"/>
      </w:pPr>
      <w:bookmarkStart w:id="105" w:name="_Toc232024595"/>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pPr>
        <w:pStyle w:val="FigureCaption"/>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Model</w:t>
            </w:r>
          </w:p>
        </w:tc>
        <w:tc>
          <w:tcPr>
            <w:tcW w:w="2832" w:type="dxa"/>
          </w:tcPr>
          <w:p>
            <w:pPr>
              <w:pStyle w:val="Normal"/>
            </w:pPr>
            <w:r>
              <w:rPr>
                <w:b/>
                <w:sz w:val="28"/>
                <w:szCs w:val="26"/>
                <w:lang w:val="en-US" w:eastAsia="en-US" w:bidi="ar-SA"/>
                <w:rFonts w:ascii="Times New Roman" w:hAnsi="Times New Roman" w:eastAsia="Times New Roman" w:cs="Times New Roman"/>
              </w:rPr>
              <w:t>Predictors</w:t>
            </w:r>
          </w:p>
        </w:tc>
        <w:tc>
          <w:tcPr>
            <w:tcW w:w="2831" w:type="dxa"/>
          </w:tcPr>
          <w:p>
            <w:pPr>
              <w:pStyle w:val="Normal"/>
            </w:pPr>
            <w:r>
              <w:rPr>
                <w:b/>
                <w:sz w:val="28"/>
                <w:szCs w:val="26"/>
                <w:lang w:val="en-US" w:eastAsia="en-US" w:bidi="ar-SA"/>
                <w:rFonts w:ascii="Times New Roman" w:hAnsi="Times New Roman" w:eastAsia="Times New Roman" w:cs="Times New Roman"/>
              </w:rPr>
              <w:t>Construct represented</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M0 Demographic baseline</w:t>
            </w:r>
          </w:p>
        </w:tc>
        <w:tc>
          <w:tcPr>
            <w:tcW w:w="2832" w:type="dxa"/>
          </w:tcPr>
          <w:p>
            <w:pPr>
              <w:pStyle w:val="Normal"/>
            </w:pPr>
            <w:r>
              <w:rPr>
                <w:sz w:val="20"/>
                <w:szCs w:val="22"/>
                <w:lang w:val="en-US" w:eastAsia="en-US" w:bidi="ar-SA"/>
                <w:rFonts w:ascii="Times New Roman" w:hAnsi="Times New Roman" w:eastAsia="Times New Roman" w:cs="Times New Roman"/>
              </w:rPr>
              <w:t>Age band, sex, education, baseline FES-I, fall history</w:t>
            </w:r>
          </w:p>
        </w:tc>
        <w:tc>
          <w:tcPr>
            <w:tcW w:w="2831" w:type="dxa"/>
          </w:tcPr>
          <w:p>
            <w:pPr>
              <w:pStyle w:val="Normal"/>
            </w:pPr>
            <w:r>
              <w:rPr>
                <w:sz w:val="20"/>
                <w:szCs w:val="22"/>
                <w:lang w:val="en-US" w:eastAsia="en-US" w:bidi="ar-SA"/>
                <w:rFonts w:ascii="Times New Roman" w:hAnsi="Times New Roman" w:eastAsia="Times New Roman" w:cs="Times New Roman"/>
              </w:rPr>
              <w:t>Standard control covariates</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M1 STAM-only</w:t>
            </w:r>
          </w:p>
        </w:tc>
        <w:tc>
          <w:tcPr>
            <w:tcW w:w="2832" w:type="dxa"/>
          </w:tcPr>
          <w:p>
            <w:pPr>
              <w:pStyle w:val="Normal"/>
            </w:pPr>
            <w:r>
              <w:rPr>
                <w:sz w:val="20"/>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2831" w:type="dxa"/>
          </w:tcPr>
          <w:p>
            <w:pPr>
              <w:pStyle w:val="Normal"/>
            </w:pPr>
            <w:r>
              <w:rPr>
                <w:sz w:val="20"/>
                <w:szCs w:val="22"/>
                <w:lang w:val="en-US" w:eastAsia="en-US" w:bidi="ar-SA"/>
                <w:rFonts w:ascii="Times New Roman" w:hAnsi="Times New Roman" w:eastAsia="Times New Roman" w:cs="Times New Roman"/>
              </w:rPr>
              <w:t>Acceptance-model account of intention; predicts initial use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M2 STAM + FIAS operators</w:t>
            </w:r>
          </w:p>
        </w:tc>
        <w:tc>
          <w:tcPr>
            <w:tcW w:w="2832"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2831" w:type="dxa"/>
          </w:tcPr>
          <w:p>
            <w:pPr>
              <w:pStyle w:val="Normal"/>
            </w:pPr>
            <w:r>
              <w:rPr>
                <w:szCs w:val="22"/>
                <w:lang w:val="en-US" w:eastAsia="en-US" w:bidi="ar-SA"/>
                <w:rFonts w:ascii="Times New Roman" w:hAnsi="Times New Roman" w:eastAsia="Times New Roman" w:cs="Times New Roman"/>
                <w:sz w:val="24"/>
              </w:rPr>
              <w:t>Prospective frame-sensitive account; outcome-defining variables must be excluded from predictors and the model has not yet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Comparison M0 versus M1 tests whether the standard senior-acceptance model improves on demographics alone. Comparison M1 versus M2 tests the incremental explanatory power of the FIAS operators specifically.</w:t>
      </w:r>
    </w:p>
    <w:p>
      <w:pPr>
        <w:pStyle w:val="Heading3"/>
      </w:pPr>
      <w:bookmarkStart w:id="107" w:name="_Toc232024596"/>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pPr>
        <w:pStyle w:val="Heading3"/>
      </w:pPr>
      <w:bookmarkStart w:id="108" w:name="_Toc232024597"/>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pPr>
        <w:pStyle w:val="Heading3"/>
      </w:pPr>
      <w:bookmarkStart w:id="109" w:name="_Toc232024598"/>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pPr>
        <w:pStyle w:val="Heading3"/>
      </w:pPr>
      <w:bookmarkStart w:id="110" w:name="_Toc232024599"/>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trPr>
          <w:jc w:val="center"/>
        </w:trPr>
        <w:tc>
          <w:tcPr>
            <w:tcW w:w="3114" w:type="dxa"/>
          </w:tcPr>
          <w:p>
            <w:pPr>
              <w:pStyle w:val="Normal"/>
            </w:pPr>
            <w:r>
              <w:rPr>
                <w:b/>
                <w:sz w:val="20"/>
                <w:szCs w:val="22"/>
                <w:lang w:val="en-US" w:eastAsia="en-US" w:bidi="ar-SA"/>
                <w:rFonts w:ascii="Times New Roman" w:hAnsi="Times New Roman" w:eastAsia="Times New Roman" w:cs="Times New Roman"/>
              </w:rPr>
              <w:t>Contrast or quantity</w:t>
            </w:r>
          </w:p>
        </w:tc>
        <w:tc>
          <w:tcPr>
            <w:tcW w:w="1092" w:type="dxa"/>
          </w:tcPr>
          <w:p>
            <w:pPr>
              <w:pStyle w:val="Normal"/>
            </w:pPr>
            <w:r>
              <w:rPr>
                <w:b/>
                <w:sz w:val="20"/>
                <w:szCs w:val="22"/>
                <w:lang w:val="en-US" w:eastAsia="en-US" w:bidi="ar-SA"/>
                <w:rFonts w:ascii="Times New Roman" w:hAnsi="Times New Roman" w:eastAsia="Times New Roman" w:cs="Times New Roman"/>
              </w:rPr>
              <w:t>Estimate</w:t>
            </w:r>
          </w:p>
        </w:tc>
        <w:tc>
          <w:tcPr>
            <w:tcW w:w="1280" w:type="dxa"/>
          </w:tcPr>
          <w:p>
            <w:pPr>
              <w:pStyle w:val="Normal"/>
            </w:pPr>
            <w:r>
              <w:rPr>
                <w:b/>
                <w:sz w:val="20"/>
                <w:szCs w:val="22"/>
                <w:lang w:val="en-US" w:eastAsia="en-US" w:bidi="ar-SA"/>
                <w:rFonts w:ascii="Times New Roman" w:hAnsi="Times New Roman" w:eastAsia="Times New Roman" w:cs="Times New Roman"/>
              </w:rPr>
              <w:t>95% CI</w:t>
            </w:r>
          </w:p>
        </w:tc>
        <w:tc>
          <w:tcPr>
            <w:tcW w:w="605" w:type="dxa"/>
          </w:tcPr>
          <w:p>
            <w:pPr>
              <w:pStyle w:val="Normal"/>
            </w:pPr>
            <w:r>
              <w:rPr>
                <w:b/>
                <w:sz w:val="20"/>
                <w:szCs w:val="22"/>
                <w:lang w:val="en-US" w:eastAsia="en-US" w:bidi="ar-SA"/>
                <w:rFonts w:ascii="Times New Roman" w:hAnsi="Times New Roman" w:eastAsia="Times New Roman" w:cs="Times New Roman"/>
              </w:rPr>
              <w:t>n</w:t>
            </w:r>
          </w:p>
        </w:tc>
        <w:tc>
          <w:tcPr>
            <w:tcW w:w="2090" w:type="dxa"/>
          </w:tcPr>
          <w:p>
            <w:pPr>
              <w:pStyle w:val="Normal"/>
            </w:pPr>
            <w:r>
              <w:rPr>
                <w:b/>
                <w:sz w:val="20"/>
                <w:szCs w:val="22"/>
                <w:lang w:val="en-US" w:eastAsia="en-US" w:bidi="ar-SA"/>
                <w:rFonts w:ascii="Times New Roman" w:hAnsi="Times New Roman" w:eastAsia="Times New Roman" w:cs="Times New Roman"/>
              </w:rPr>
              <w:t>Test / source</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092" w:type="dxa"/>
          </w:tcPr>
          <w:p>
            <w:pPr>
              <w:pStyle w:val="Normal"/>
            </w:pPr>
            <w:r>
              <w:rPr>
                <w:szCs w:val="22"/>
                <w:lang w:val="en-US" w:eastAsia="en-US" w:bidi="ar-SA"/>
                <w:rFonts w:ascii="Times New Roman" w:hAnsi="Times New Roman" w:eastAsia="Times New Roman" w:cs="Times New Roman"/>
                <w:sz w:val="24"/>
              </w:rPr>
              <w:t>70.0%</w:t>
            </w:r>
          </w:p>
        </w:tc>
        <w:tc>
          <w:tcPr>
            <w:tcW w:w="1280" w:type="dxa"/>
          </w:tcPr>
          <w:p>
            <w:pPr>
              <w:pStyle w:val="Normal"/>
            </w:pPr>
            <w:r>
              <w:rPr>
                <w:szCs w:val="22"/>
                <w:lang w:val="en-US" w:eastAsia="en-US" w:bidi="ar-SA"/>
                <w:rFonts w:ascii="Times New Roman" w:hAnsi="Times New Roman" w:eastAsia="Times New Roman" w:cs="Times New Roman"/>
                <w:sz w:val="24"/>
              </w:rPr>
              <w:t>52.1–83.3%*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092"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280" w:type="dxa"/>
          </w:tcPr>
          <w:p>
            <w:pPr>
              <w:pStyle w:val="Normal"/>
            </w:pPr>
            <w:r>
              <w:rPr>
                <w:szCs w:val="22"/>
                <w:lang w:val="en-US" w:eastAsia="en-US" w:bidi="ar-SA"/>
                <w:rFonts w:ascii="Times New Roman" w:hAnsi="Times New Roman" w:eastAsia="Times New Roman" w:cs="Times New Roman"/>
                <w:sz w:val="24"/>
              </w:rPr>
              <w:t>dz 0.95–3.46; mean 4.5–9.3</w:t>
            </w:r>
          </w:p>
        </w:tc>
        <w:tc>
          <w:tcPr>
            <w:tcW w:w="605" w:type="dxa"/>
          </w:tcPr>
          <w:p>
            <w:pPr>
              <w:pStyle w:val="Normal"/>
            </w:pPr>
            <w:r>
              <w:rPr>
                <w:szCs w:val="22"/>
                <w:lang w:val="en-US" w:eastAsia="en-US" w:bidi="ar-SA"/>
                <w:rFonts w:ascii="Times New Roman" w:hAnsi="Times New Roman" w:eastAsia="Times New Roman" w:cs="Times New Roman"/>
                <w:sz w:val="24"/>
              </w:rPr>
              <w:t>9</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092" w:type="dxa"/>
          </w:tcPr>
          <w:p>
            <w:pPr>
              <w:pStyle w:val="Normal"/>
            </w:pPr>
            <w:r>
              <w:rPr>
                <w:szCs w:val="22"/>
                <w:lang w:val="en-US" w:eastAsia="en-US" w:bidi="ar-SA"/>
                <w:rFonts w:ascii="Times New Roman" w:hAnsi="Times New Roman" w:eastAsia="Times New Roman" w:cs="Times New Roman"/>
                <w:sz w:val="24"/>
              </w:rPr>
              <w:t>dz = 0.42; mean +4.0 points</w:t>
            </w:r>
          </w:p>
        </w:tc>
        <w:tc>
          <w:tcPr>
            <w:tcW w:w="1280" w:type="dxa"/>
          </w:tcPr>
          <w:p>
            <w:pPr>
              <w:pStyle w:val="Normal"/>
            </w:pPr>
            <w:r>
              <w:rPr>
                <w:szCs w:val="22"/>
                <w:lang w:val="en-US" w:eastAsia="en-US" w:bidi="ar-SA"/>
                <w:rFonts w:ascii="Times New Roman" w:hAnsi="Times New Roman" w:eastAsia="Times New Roman" w:cs="Times New Roman"/>
                <w:sz w:val="24"/>
              </w:rPr>
              <w:t>dz 0.05–0.79; mean 0.5–7.6</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092" w:type="dxa"/>
          </w:tcPr>
          <w:p>
            <w:pPr>
              <w:pStyle w:val="Normal"/>
            </w:pPr>
            <w:r>
              <w:rPr>
                <w:szCs w:val="22"/>
                <w:lang w:val="en-US" w:eastAsia="en-US" w:bidi="ar-SA"/>
                <w:rFonts w:ascii="Times New Roman" w:hAnsi="Times New Roman" w:eastAsia="Times New Roman" w:cs="Times New Roman"/>
                <w:sz w:val="24"/>
              </w:rPr>
              <w:t>9/9 vs 11/21 satisfied</w:t>
            </w:r>
          </w:p>
        </w:tc>
        <w:tc>
          <w:tcPr>
            <w:tcW w:w="1280" w:type="dxa"/>
          </w:tcPr>
          <w:p>
            <w:pPr>
              <w:pStyle w:val="Normal"/>
            </w:pPr>
            <w:r>
              <w:rPr>
                <w:szCs w:val="22"/>
                <w:lang w:val="en-US" w:eastAsia="en-US" w:bidi="ar-SA"/>
                <w:rFonts w:ascii="Times New Roman" w:hAnsi="Times New Roman" w:eastAsia="Times New Roman" w:cs="Times New Roman"/>
                <w:sz w:val="24"/>
              </w:rPr>
              <w:t>p = 0.013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Fisher's exact test; §5.5</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092" w:type="dxa"/>
          </w:tcPr>
          <w:p>
            <w:pPr>
              <w:pStyle w:val="Normal"/>
            </w:pPr>
            <w:r>
              <w:rPr>
                <w:sz w:val="24"/>
                <w:szCs w:val="22"/>
                <w:lang w:val="en-US" w:eastAsia="en-US" w:bidi="ar-SA"/>
                <w:rFonts w:ascii="Times New Roman" w:hAnsi="Times New Roman" w:eastAsia="Times New Roman" w:cs="Times New Roman"/>
                <w:b/>
              </w:rPr>
              <w:t>0.0%</w:t>
            </w:r>
          </w:p>
        </w:tc>
        <w:tc>
          <w:tcPr>
            <w:tcW w:w="1280" w:type="dxa"/>
          </w:tcPr>
          <w:p>
            <w:pPr>
              <w:pStyle w:val="Normal"/>
            </w:pPr>
            <w:r>
              <w:rPr>
                <w:sz w:val="24"/>
                <w:szCs w:val="22"/>
                <w:lang w:val="en-US" w:eastAsia="en-US" w:bidi="ar-SA"/>
                <w:rFonts w:ascii="Times New Roman" w:hAnsi="Times New Roman" w:eastAsia="Times New Roman" w:cs="Times New Roman"/>
                <w:b/>
              </w:rPr>
              <w:t>0.0–15.5%*</w:t>
            </w:r>
          </w:p>
        </w:tc>
        <w:tc>
          <w:tcPr>
            <w:tcW w:w="605" w:type="dxa"/>
          </w:tcPr>
          <w:p>
            <w:pPr>
              <w:pStyle w:val="Normal"/>
            </w:pPr>
            <w:r>
              <w:rPr>
                <w:sz w:val="24"/>
                <w:szCs w:val="22"/>
                <w:lang w:val="en-US" w:eastAsia="en-US" w:bidi="ar-SA"/>
                <w:rFonts w:ascii="Times New Roman" w:hAnsi="Times New Roman" w:eastAsia="Times New Roman" w:cs="Times New Roman"/>
                <w:b/>
              </w:rPr>
              <w:t>21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092" w:type="dxa"/>
          </w:tcPr>
          <w:p>
            <w:pPr>
              <w:pStyle w:val="Normal"/>
            </w:pPr>
            <w:r>
              <w:rPr>
                <w:sz w:val="24"/>
                <w:szCs w:val="22"/>
                <w:lang w:val="en-US" w:eastAsia="en-US" w:bidi="ar-SA"/>
                <w:rFonts w:ascii="Times New Roman" w:hAnsi="Times New Roman" w:eastAsia="Times New Roman" w:cs="Times New Roman"/>
                <w:b/>
              </w:rPr>
              <w:t>65.2%</w:t>
            </w:r>
          </w:p>
        </w:tc>
        <w:tc>
          <w:tcPr>
            <w:tcW w:w="1280" w:type="dxa"/>
          </w:tcPr>
          <w:p>
            <w:pPr>
              <w:pStyle w:val="Normal"/>
            </w:pPr>
            <w:r>
              <w:rPr>
                <w:sz w:val="24"/>
                <w:szCs w:val="22"/>
                <w:lang w:val="en-US" w:eastAsia="en-US" w:bidi="ar-SA"/>
                <w:rFonts w:ascii="Times New Roman" w:hAnsi="Times New Roman" w:eastAsia="Times New Roman" w:cs="Times New Roman"/>
                <w:b/>
              </w:rPr>
              <w:t>44.9–81.2%*</w:t>
            </w:r>
          </w:p>
        </w:tc>
        <w:tc>
          <w:tcPr>
            <w:tcW w:w="605" w:type="dxa"/>
          </w:tcPr>
          <w:p>
            <w:pPr>
              <w:pStyle w:val="Normal"/>
            </w:pPr>
            <w:r>
              <w:rPr>
                <w:sz w:val="24"/>
                <w:szCs w:val="22"/>
                <w:lang w:val="en-US" w:eastAsia="en-US" w:bidi="ar-SA"/>
                <w:rFonts w:ascii="Times New Roman" w:hAnsi="Times New Roman" w:eastAsia="Times New Roman" w:cs="Times New Roman"/>
                <w:b/>
              </w:rPr>
              <w:t>23</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092" w:type="dxa"/>
          </w:tcPr>
          <w:p>
            <w:pPr>
              <w:pStyle w:val="Normal"/>
            </w:pPr>
            <w:r>
              <w:rPr>
                <w:sz w:val="24"/>
                <w:szCs w:val="22"/>
                <w:lang w:val="en-US" w:eastAsia="en-US" w:bidi="ar-SA"/>
                <w:rFonts w:ascii="Times New Roman" w:hAnsi="Times New Roman" w:eastAsia="Times New Roman" w:cs="Times New Roman"/>
                <w:b/>
              </w:rPr>
              <w:t>62.5%</w:t>
            </w:r>
          </w:p>
        </w:tc>
        <w:tc>
          <w:tcPr>
            <w:tcW w:w="1280" w:type="dxa"/>
          </w:tcPr>
          <w:p>
            <w:pPr>
              <w:pStyle w:val="Normal"/>
            </w:pPr>
            <w:r>
              <w:rPr>
                <w:sz w:val="24"/>
                <w:szCs w:val="22"/>
                <w:lang w:val="en-US" w:eastAsia="en-US" w:bidi="ar-SA"/>
                <w:rFonts w:ascii="Times New Roman" w:hAnsi="Times New Roman" w:eastAsia="Times New Roman" w:cs="Times New Roman"/>
                <w:b/>
              </w:rPr>
              <w:t>38.6–81.5%*</w:t>
            </w:r>
          </w:p>
        </w:tc>
        <w:tc>
          <w:tcPr>
            <w:tcW w:w="605" w:type="dxa"/>
          </w:tcPr>
          <w:p>
            <w:pPr>
              <w:pStyle w:val="Normal"/>
            </w:pPr>
            <w:r>
              <w:rPr>
                <w:sz w:val="24"/>
                <w:szCs w:val="22"/>
                <w:lang w:val="en-US" w:eastAsia="en-US" w:bidi="ar-SA"/>
                <w:rFonts w:ascii="Times New Roman" w:hAnsi="Times New Roman" w:eastAsia="Times New Roman" w:cs="Times New Roman"/>
                <w:b/>
              </w:rPr>
              <w:t>16</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092" w:type="dxa"/>
          </w:tcPr>
          <w:p>
            <w:pPr>
              <w:pStyle w:val="Normal"/>
            </w:pPr>
            <w:r>
              <w:rPr>
                <w:szCs w:val="22"/>
                <w:lang w:val="en-US" w:eastAsia="en-US" w:bidi="ar-SA"/>
                <w:rFonts w:ascii="Times New Roman" w:hAnsi="Times New Roman" w:eastAsia="Times New Roman" w:cs="Times New Roman"/>
                <w:sz w:val="24"/>
              </w:rPr>
              <w:t>14.6%</w:t>
            </w:r>
          </w:p>
        </w:tc>
        <w:tc>
          <w:tcPr>
            <w:tcW w:w="1280" w:type="dxa"/>
          </w:tcPr>
          <w:p>
            <w:pPr>
              <w:pStyle w:val="Normal"/>
            </w:pPr>
            <w:r>
              <w:rPr>
                <w:szCs w:val="22"/>
                <w:lang w:val="en-US" w:eastAsia="en-US" w:bidi="ar-SA"/>
                <w:rFonts w:ascii="Times New Roman" w:hAnsi="Times New Roman" w:eastAsia="Times New Roman" w:cs="Times New Roman"/>
                <w:sz w:val="24"/>
              </w:rPr>
              <w:t>6.9–28.4%*</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092" w:type="dxa"/>
          </w:tcPr>
          <w:p>
            <w:pPr>
              <w:pStyle w:val="Normal"/>
            </w:pPr>
            <w:r>
              <w:rPr>
                <w:sz w:val="24"/>
                <w:szCs w:val="22"/>
                <w:lang w:val="en-US" w:eastAsia="en-US" w:bidi="ar-SA"/>
                <w:rFonts w:ascii="Times New Roman" w:hAnsi="Times New Roman" w:eastAsia="Times New Roman" w:cs="Times New Roman"/>
                <w:b/>
              </w:rPr>
              <w:t>71.7%</w:t>
            </w:r>
          </w:p>
        </w:tc>
        <w:tc>
          <w:tcPr>
            <w:tcW w:w="1280" w:type="dxa"/>
          </w:tcPr>
          <w:p>
            <w:pPr>
              <w:pStyle w:val="Normal"/>
            </w:pPr>
            <w:r>
              <w:rPr>
                <w:sz w:val="24"/>
                <w:szCs w:val="22"/>
                <w:lang w:val="en-US" w:eastAsia="en-US" w:bidi="ar-SA"/>
                <w:rFonts w:ascii="Times New Roman" w:hAnsi="Times New Roman" w:eastAsia="Times New Roman" w:cs="Times New Roman"/>
                <w:b/>
              </w:rPr>
              <w:t>63.0–79.0%*</w:t>
            </w:r>
          </w:p>
        </w:tc>
        <w:tc>
          <w:tcPr>
            <w:tcW w:w="605" w:type="dxa"/>
          </w:tcPr>
          <w:p>
            <w:pPr>
              <w:pStyle w:val="Normal"/>
            </w:pPr>
            <w:r>
              <w:rPr>
                <w:sz w:val="24"/>
                <w:szCs w:val="22"/>
                <w:lang w:val="en-US" w:eastAsia="en-US" w:bidi="ar-SA"/>
                <w:rFonts w:ascii="Times New Roman" w:hAnsi="Times New Roman" w:eastAsia="Times New Roman" w:cs="Times New Roman"/>
                <w:b/>
              </w:rPr>
              <w:t>120</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092" w:type="dxa"/>
          </w:tcPr>
          <w:p>
            <w:pPr>
              <w:pStyle w:val="Normal"/>
            </w:pPr>
            <w:r>
              <w:rPr>
                <w:szCs w:val="22"/>
                <w:lang w:val="en-US" w:eastAsia="en-US" w:bidi="ar-SA"/>
                <w:rFonts w:ascii="Times New Roman" w:hAnsi="Times New Roman" w:eastAsia="Times New Roman" w:cs="Times New Roman"/>
                <w:sz w:val="24"/>
              </w:rPr>
              <w:t>56.1%</w:t>
            </w:r>
          </w:p>
        </w:tc>
        <w:tc>
          <w:tcPr>
            <w:tcW w:w="1280" w:type="dxa"/>
          </w:tcPr>
          <w:p>
            <w:pPr>
              <w:pStyle w:val="Normal"/>
            </w:pPr>
            <w:r>
              <w:rPr>
                <w:szCs w:val="22"/>
                <w:lang w:val="en-US" w:eastAsia="en-US" w:bidi="ar-SA"/>
                <w:rFonts w:ascii="Times New Roman" w:hAnsi="Times New Roman" w:eastAsia="Times New Roman" w:cs="Times New Roman"/>
                <w:sz w:val="24"/>
              </w:rPr>
              <w:t>41.0–70.1%*</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092" w:type="dxa"/>
          </w:tcPr>
          <w:p>
            <w:pPr>
              <w:pStyle w:val="Normal"/>
            </w:pPr>
            <w:r>
              <w:rPr>
                <w:szCs w:val="22"/>
                <w:lang w:val="en-US" w:eastAsia="en-US" w:bidi="ar-SA"/>
                <w:rFonts w:ascii="Times New Roman" w:hAnsi="Times New Roman" w:eastAsia="Times New Roman" w:cs="Times New Roman"/>
                <w:sz w:val="24"/>
              </w:rPr>
              <w:t>29.3 pp</w:t>
            </w:r>
          </w:p>
        </w:tc>
        <w:tc>
          <w:tcPr>
            <w:tcW w:w="1280" w:type="dxa"/>
          </w:tcPr>
          <w:p>
            <w:pPr>
              <w:pStyle w:val="Normal"/>
            </w:pPr>
            <w:r>
              <w:rPr>
                <w:sz w:val="24"/>
                <w:szCs w:val="22"/>
                <w:lang w:val="en-US" w:eastAsia="en-US" w:bidi="ar-SA"/>
                <w:rFonts w:ascii="Times New Roman" w:hAnsi="Times New Roman" w:eastAsia="Times New Roman" w:cs="Times New Roman"/>
                <w:b/>
              </w:rPr>
              <w:t>see note</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Cs w:val="22"/>
                <w:lang w:val="en-US" w:eastAsia="en-US" w:bidi="ar-SA"/>
                <w:rFonts w:ascii="Times New Roman" w:hAnsi="Times New Roman" w:eastAsia="Times New Roman" w:cs="Times New Roman"/>
                <w:sz w:val="24"/>
              </w:rPr>
              <w:t>Difference between distinct outcomes (85.4%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pPr>
        <w:pStyle w:val="Normal"/>
        <w:spacing w:after="20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7 Discussion: Adaptive Learning as the Behavioural-Change Driver</w:t>
      </w:r>
      <w:bookmarkEnd w:id="111"/>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7.1 Why the Empirical Programme Forces Adaptive Learning</w:t>
      </w:r>
    </w:p>
    <w:p>
      <w:pPr>
        <w:pStyle w:val="Normal"/>
        <w:jc w:val="both"/>
      </w:pPr>
      <w:r>
        <w:rPr>
          <w:szCs w:val="22"/>
          <w:lang w:val="en-US" w:eastAsia="en-US" w:bidi="ar-SA"/>
          <w:rFonts w:ascii="Times New Roman" w:hAnsi="Times New Roman" w:eastAsia="Times New Roman" w:cs="Times New Roman"/>
          <w:sz w:val="24"/>
        </w:rP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pPr>
        <w:pStyle w:val="Normal"/>
        <w:jc w:val="both"/>
      </w:pPr>
      <w:r>
        <w:rPr>
          <w:szCs w:val="22"/>
          <w:lang w:val="en-US" w:eastAsia="en-US" w:bidi="ar-SA"/>
          <w:rFonts w:ascii="Times New Roman" w:hAnsi="Times New Roman" w:eastAsia="Times New Roman" w:cs="Times New Roman"/>
          <w:sz w:val="24"/>
        </w:rP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pPr>
        <w:pStyle w:val="Heading2"/>
      </w:pPr>
      <w:bookmarkStart w:id="112" w:name="_Toc23202460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pPr>
        <w:pStyle w:val="Normal"/>
        <w:jc w:val="both"/>
      </w:pPr>
      <w:r>
        <w:rPr>
          <w:szCs w:val="22"/>
          <w:lang w:val="en-US" w:eastAsia="en-US" w:bidi="ar-SA"/>
          <w:rFonts w:ascii="Times New Roman" w:hAnsi="Times New Roman" w:eastAsia="Times New Roman" w:cs="Times New Roman"/>
          <w:sz w:val="24"/>
        </w:rP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7.4 Formalising the Discovery: The Adaptive-Learning Framework</w:t>
      </w:r>
      <w:bookmarkEnd w:id="113"/>
    </w:p>
    <w:p>
      <w:pPr>
        <w:pStyle w:val="Normal"/>
        <w:jc w:val="both"/>
      </w:pPr>
      <w:r>
        <w:rPr>
          <w:szCs w:val="22"/>
          <w:lang w:val="en-US" w:eastAsia="en-US" w:bidi="ar-SA"/>
          <w:rFonts w:ascii="Times New Roman" w:hAnsi="Times New Roman" w:eastAsia="Times New Roman" w:cs="Times New Roman"/>
          <w:sz w:val="24"/>
        </w:rP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pPr>
        <w:pStyle w:val="Normal"/>
      </w:pPr>
      <w:r>
        <w:rPr>
          <w:szCs w:val="22"/>
          <w:lang w:val="en-US" w:eastAsia="en-US" w:bidi="ar-SA"/>
          <w:rFonts w:ascii="Times New Roman" w:hAnsi="Times New Roman" w:eastAsia="Times New Roman" w:cs="Times New Roman"/>
          <w:sz w:val="24"/>
        </w:rP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pPr>
        <w:pStyle w:val="FigureCaption"/>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0" w:type="auto"/>
        <w:jc w:val="center"/>
        <w:tblLook w:val="04A0" w:firstRow="1" w:lastRow="0" w:firstColumn="1" w:lastColumn="0" w:noHBand="0" w:noVBand="1"/>
      </w:tblPr>
      <w:tblGrid>
        <w:gridCol w:w="2833"/>
        <w:gridCol w:w="2831"/>
        <w:gridCol w:w="2831"/>
      </w:tblGrid>
      <w:tr>
        <w:trPr>
          <w:jc w:val="center"/>
        </w:trPr>
        <w:tc>
          <w:tcPr>
            <w:tcW w:w="2833" w:type="dxa"/>
          </w:tcPr>
          <w:p>
            <w:pPr>
              <w:pStyle w:val="Normal"/>
            </w:pPr>
            <w:r>
              <w:rPr>
                <w:b/>
                <w:sz w:val="20"/>
                <w:szCs w:val="22"/>
                <w:lang w:val="en-US" w:eastAsia="en-US" w:bidi="ar-SA"/>
                <w:rFonts w:ascii="Times New Roman" w:hAnsi="Times New Roman" w:eastAsia="Times New Roman" w:cs="Times New Roman"/>
              </w:rPr>
              <w:t>Principle</w:t>
            </w:r>
          </w:p>
        </w:tc>
        <w:tc>
          <w:tcPr>
            <w:tcW w:w="2831" w:type="dxa"/>
          </w:tcPr>
          <w:p>
            <w:pPr>
              <w:pStyle w:val="Normal"/>
            </w:pPr>
            <w:r>
              <w:rPr>
                <w:b/>
                <w:sz w:val="20"/>
                <w:szCs w:val="22"/>
                <w:lang w:val="en-US" w:eastAsia="en-US" w:bidi="ar-SA"/>
                <w:rFonts w:ascii="Times New Roman" w:hAnsi="Times New Roman" w:eastAsia="Times New Roman" w:cs="Times New Roman"/>
              </w:rPr>
              <w:t>What it does</w:t>
            </w:r>
          </w:p>
        </w:tc>
        <w:tc>
          <w:tcPr>
            <w:tcW w:w="2831" w:type="dxa"/>
          </w:tcPr>
          <w:p>
            <w:pPr>
              <w:pStyle w:val="Normal"/>
            </w:pPr>
            <w:r>
              <w:rPr>
                <w:b/>
                <w:sz w:val="20"/>
                <w:szCs w:val="22"/>
                <w:lang w:val="en-US" w:eastAsia="en-US" w:bidi="ar-SA"/>
                <w:rFonts w:ascii="Times New Roman" w:hAnsi="Times New Roman" w:eastAsia="Times New Roman" w:cs="Times New Roman"/>
              </w:rPr>
              <w:t>Empirical anchor</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P1 Identity Disentanglement</w:t>
            </w:r>
          </w:p>
        </w:tc>
        <w:tc>
          <w:tcPr>
            <w:tcW w:w="2831" w:type="dxa"/>
          </w:tcPr>
          <w:p>
            <w:pPr>
              <w:pStyle w:val="Normal"/>
            </w:pPr>
            <w:r>
              <w:rPr>
                <w:sz w:val="20"/>
                <w:szCs w:val="22"/>
                <w:lang w:val="en-US" w:eastAsia="en-US" w:bidi="ar-SA"/>
                <w:rFonts w:ascii="Times New Roman" w:hAnsi="Times New Roman" w:eastAsia="Times New Roman" w:cs="Times New Roman"/>
              </w:rPr>
              <w:t>Removes the cue that sorts the activity into the user's health account</w:t>
            </w:r>
          </w:p>
        </w:tc>
        <w:tc>
          <w:tcPr>
            <w:tcW w:w="2831" w:type="dxa"/>
          </w:tcPr>
          <w:p>
            <w:pPr>
              <w:pStyle w:val="Normal"/>
            </w:pPr>
            <w:r>
              <w:rPr>
                <w:szCs w:val="22"/>
                <w:lang w:val="en-US" w:eastAsia="en-US" w:bidi="ar-SA"/>
                <w:rFonts w:ascii="Times New Roman" w:hAnsi="Times New Roman" w:eastAsia="Times New Roman" w:cs="Times New Roman"/>
                <w:sz w:val="24"/>
              </w:rPr>
              <w:t>Motivated by higher post-failure return in the separate Stage-3 decoupled cohort</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P2 Trajectory Installation</w:t>
            </w:r>
          </w:p>
        </w:tc>
        <w:tc>
          <w:tcPr>
            <w:tcW w:w="2831" w:type="dxa"/>
          </w:tcPr>
          <w:p>
            <w:pPr>
              <w:pStyle w:val="Normal"/>
            </w:pPr>
            <w:r>
              <w:rPr>
                <w:sz w:val="20"/>
                <w:szCs w:val="22"/>
                <w:lang w:val="en-US" w:eastAsia="en-US" w:bidi="ar-SA"/>
                <w:rFonts w:ascii="Times New Roman" w:hAnsi="Times New Roman" w:eastAsia="Times New Roman" w:cs="Times New Roman"/>
              </w:rPr>
              <w:t>Makes a dynamic self-concept trajectory the reference point against which performance is read</w:t>
            </w:r>
          </w:p>
        </w:tc>
        <w:tc>
          <w:tcPr>
            <w:tcW w:w="2831"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causal mechanism untested</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P3 Adaptive Calibration</w:t>
            </w:r>
          </w:p>
        </w:tc>
        <w:tc>
          <w:tcPr>
            <w:tcW w:w="2831" w:type="dxa"/>
          </w:tcPr>
          <w:p>
            <w:pPr>
              <w:pStyle w:val="Normal"/>
            </w:pPr>
            <w:r>
              <w:rPr>
                <w:sz w:val="20"/>
                <w:szCs w:val="22"/>
                <w:lang w:val="en-US" w:eastAsia="en-US" w:bidi="ar-SA"/>
                <w:rFonts w:ascii="Times New Roman" w:hAnsi="Times New Roman" w:eastAsia="Times New Roman" w:cs="Times New Roman"/>
              </w:rPr>
              <w:t>Continuously matches challenge, feedback affect and pacing to the user's position</w:t>
            </w:r>
          </w:p>
        </w:tc>
        <w:tc>
          <w:tcPr>
            <w:tcW w:w="2831" w:type="dxa"/>
          </w:tcPr>
          <w:p>
            <w:pPr>
              <w:pStyle w:val="Normal"/>
            </w:pPr>
            <w:r>
              <w:rPr>
                <w:szCs w:val="22"/>
                <w:lang w:val="en-US" w:eastAsia="en-US" w:bidi="ar-SA"/>
                <w:rFonts w:ascii="Times New Roman" w:hAnsi="Times New Roman" w:eastAsia="Times New Roman" w:cs="Times New Roman"/>
                <w:sz w:val="24"/>
              </w:rPr>
              <w:t>Partial difficulty adaptation in Stage 2; complete principle untested</w:t>
            </w:r>
          </w:p>
        </w:tc>
      </w:tr>
    </w:tbl>
    <w:p>
      <w:pPr>
        <w:pStyle w:val="Normal"/>
        <w:spacing w:after="40"/>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pPr>
        <w:pStyle w:val="Heading2"/>
      </w:pPr>
      <w:bookmarkStart w:id="115" w:name="_Toc23202460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 Prototype Stack: Engineering-Actionable Implementation</w:t>
      </w:r>
      <w:bookmarkEnd w:id="115"/>
    </w:p>
    <w:p>
      <w:pPr>
        <w:pStyle w:val="Normal"/>
        <w:jc w:val="both"/>
      </w:pPr>
      <w:r>
        <w:rPr>
          <w:szCs w:val="22"/>
          <w:lang w:val="en-US" w:eastAsia="en-US" w:bidi="ar-SA"/>
          <w:rFonts w:ascii="Times New Roman" w:hAnsi="Times New Roman" w:eastAsia="Times New Roman" w:cs="Times New Roman"/>
          <w:sz w:val="24"/>
        </w:rP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pPr>
        <w:pStyle w:val="Heading3"/>
      </w:pPr>
      <w:bookmarkStart w:id="116" w:name="_Toc23202460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7.5.1 Reference Stack</w:t>
      </w:r>
      <w:bookmarkEnd w:id="116"/>
    </w:p>
    <w:p>
      <w:pPr>
        <w:pStyle w:val="FigureCaption"/>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0"/>
              </w:rPr>
              <w:t>Layer</w:t>
            </w:r>
          </w:p>
        </w:tc>
        <w:tc>
          <w:tcPr>
            <w:tcW w:w="3118" w:type="dxa"/>
          </w:tcPr>
          <w:p>
            <w:pPr>
              <w:pStyle w:val="Normal"/>
            </w:pPr>
            <w:r>
              <w:rPr>
                <w:b/>
                <w:sz w:val="20"/>
                <w:szCs w:val="22"/>
                <w:lang w:val="en-US" w:eastAsia="en-US" w:bidi="ar-SA"/>
                <w:rFonts w:ascii="Times New Roman" w:hAnsi="Times New Roman" w:eastAsia="Times New Roman" w:cs="Times New Roman"/>
              </w:rPr>
              <w:t>Component</w:t>
            </w:r>
          </w:p>
        </w:tc>
        <w:tc>
          <w:tcPr>
            <w:tcW w:w="1700" w:type="dxa"/>
          </w:tcPr>
          <w:p>
            <w:pPr>
              <w:pStyle w:val="Normal"/>
            </w:pPr>
            <w:r>
              <w:rPr>
                <w:b/>
                <w:sz w:val="20"/>
                <w:szCs w:val="22"/>
                <w:lang w:val="en-US" w:eastAsia="en-US" w:bidi="ar-SA"/>
                <w:rFonts w:ascii="Times New Roman" w:hAnsi="Times New Roman" w:eastAsia="Times New Roman" w:cs="Times New Roman"/>
              </w:rPr>
              <w:t>The adaptive-learning framework principle served</w:t>
            </w:r>
          </w:p>
        </w:tc>
        <w:tc>
          <w:tcPr>
            <w:tcW w:w="2126" w:type="dxa"/>
          </w:tcPr>
          <w:p>
            <w:pPr>
              <w:pStyle w:val="Normal"/>
            </w:pPr>
            <w:r>
              <w:rPr>
                <w:b/>
                <w:sz w:val="20"/>
                <w:szCs w:val="22"/>
                <w:lang w:val="en-US" w:eastAsia="en-US" w:bidi="ar-SA"/>
                <w:rFonts w:ascii="Times New Roman" w:hAnsi="Times New Roman" w:eastAsia="Times New Roman" w:cs="Times New Roman"/>
              </w:rPr>
              <w:t>Implementation note</w:t>
            </w:r>
          </w:p>
        </w:tc>
      </w:tr>
      <w:tr w:rsidR="0062437E" w14:paraId="15D407AF"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L0 Sensor</w:t>
            </w:r>
          </w:p>
        </w:tc>
        <w:tc>
          <w:tcPr>
            <w:tcW w:w="3118" w:type="dxa"/>
          </w:tcPr>
          <w:p>
            <w:pPr>
              <w:pStyle w:val="Normal"/>
            </w:pPr>
            <w:r>
              <w:rPr>
                <w:sz w:val="20"/>
                <w:szCs w:val="22"/>
                <w:lang w:val="en-US" w:eastAsia="en-US" w:bidi="ar-SA"/>
                <w:rFonts w:ascii="Times New Roman" w:hAnsi="Times New Roman" w:eastAsia="Times New Roman" w:cs="Times New Roman"/>
              </w:rPr>
              <w:t>InBody pressure panel; same hardware as Stage 2 and 3</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Existing capital; no replacement cost</w:t>
            </w:r>
          </w:p>
        </w:tc>
      </w:tr>
      <w:tr w:rsidR="0062437E" w14:paraId="4A27D47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L1 Game Engine</w:t>
            </w:r>
          </w:p>
        </w:tc>
        <w:tc>
          <w:tcPr>
            <w:tcW w:w="3118" w:type="dxa"/>
          </w:tcPr>
          <w:p>
            <w:pPr>
              <w:pStyle w:val="Normal"/>
            </w:pPr>
            <w:r>
              <w:rPr>
                <w:sz w:val="20"/>
                <w:szCs w:val="22"/>
                <w:lang w:val="en-US" w:eastAsia="en-US" w:bidi="ar-SA"/>
                <w:rFonts w:ascii="Times New Roman" w:hAnsi="Times New Roman" w:eastAsia="Times New Roman" w:cs="Times New Roman"/>
              </w:rPr>
              <w:t>Pygame skiing task generated through Anthropic Claude Code</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Prompt-driven regeneration; clinician-editable difficulty curves</w:t>
            </w:r>
          </w:p>
        </w:tc>
      </w:tr>
      <w:tr w:rsidR="0062437E" w14:paraId="6EA12EA5"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L2 AI Adaptation</w:t>
            </w:r>
          </w:p>
        </w:tc>
        <w:tc>
          <w:tcPr>
            <w:tcW w:w="3118" w:type="dxa"/>
          </w:tcPr>
          <w:p>
            <w:pPr>
              <w:pStyle w:val="Normal"/>
            </w:pPr>
            <w:r>
              <w:rPr>
                <w:sz w:val="20"/>
                <w:szCs w:val="22"/>
                <w:lang w:val="en-US" w:eastAsia="en-US" w:bidi="ar-SA"/>
                <w:rFonts w:ascii="Times New Roman" w:hAnsi="Times New Roman" w:eastAsia="Times New Roman" w:cs="Times New Roman"/>
              </w:rPr>
              <w:t>Claude API + LangChain runtime; obstacle density, speed, feedback affect</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Extended from difficulty-only to feedback-affect adaptation</w:t>
            </w:r>
          </w:p>
        </w:tc>
      </w:tr>
      <w:tr w:rsidR="0062437E" w14:paraId="09D406A7"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L3 Logging</w:t>
            </w:r>
          </w:p>
        </w:tc>
        <w:tc>
          <w:tcPr>
            <w:tcW w:w="3118" w:type="dxa"/>
          </w:tcPr>
          <w:p>
            <w:pPr>
              <w:pStyle w:val="Normal"/>
            </w:pPr>
            <w:r>
              <w:rPr>
                <w:sz w:val="20"/>
                <w:szCs w:val="22"/>
                <w:lang w:val="en-US" w:eastAsia="en-US" w:bidi="ar-SA"/>
                <w:rFonts w:ascii="Times New Roman" w:hAnsi="Times New Roman" w:eastAsia="Times New Roman" w:cs="Times New Roman"/>
              </w:rPr>
              <w:t>Cycle counts, COP traces, session affect, dropout flags</w:t>
            </w:r>
          </w:p>
        </w:tc>
        <w:tc>
          <w:tcPr>
            <w:tcW w:w="1700" w:type="dxa"/>
          </w:tcPr>
          <w:p>
            <w:pPr>
              <w:pStyle w:val="Normal"/>
            </w:pPr>
            <w:r>
              <w:rPr>
                <w:sz w:val="20"/>
                <w:szCs w:val="22"/>
                <w:lang w:val="en-US" w:eastAsia="en-US" w:bidi="ar-SA"/>
                <w:rFonts w:ascii="Times New Roman" w:hAnsi="Times New Roman" w:eastAsia="Times New Roman" w:cs="Times New Roman"/>
              </w:rPr>
              <w:t>P2/P3</w:t>
            </w:r>
          </w:p>
        </w:tc>
        <w:tc>
          <w:tcPr>
            <w:tcW w:w="2126" w:type="dxa"/>
          </w:tcPr>
          <w:p>
            <w:pPr>
              <w:pStyle w:val="Normal"/>
            </w:pPr>
            <w:r>
              <w:rPr>
                <w:sz w:val="20"/>
                <w:szCs w:val="22"/>
                <w:lang w:val="en-US" w:eastAsia="en-US" w:bidi="ar-SA"/>
                <w:rFonts w:ascii="Times New Roman" w:hAnsi="Times New Roman" w:eastAsia="Times New Roman" w:cs="Times New Roman"/>
              </w:rPr>
              <w:t>Existing</w:t>
            </w:r>
          </w:p>
        </w:tc>
      </w:tr>
      <w:tr w:rsidR="0062437E" w14:paraId="559E62E6"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L4 Clinical Output</w:t>
            </w:r>
          </w:p>
        </w:tc>
        <w:tc>
          <w:tcPr>
            <w:tcW w:w="3118" w:type="dxa"/>
          </w:tcPr>
          <w:p>
            <w:pPr>
              <w:pStyle w:val="Normal"/>
            </w:pPr>
            <w:r>
              <w:rPr>
                <w:sz w:val="20"/>
                <w:szCs w:val="22"/>
                <w:lang w:val="en-US" w:eastAsia="en-US" w:bidi="ar-SA"/>
                <w:rFonts w:ascii="Times New Roman" w:hAnsi="Times New Roman" w:eastAsia="Times New Roman" w:cs="Times New Roman"/>
              </w:rPr>
              <w:t>Pre/post FRA indices for clinician review (background)</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Hidden from participant under P1 frame</w:t>
            </w:r>
          </w:p>
        </w:tc>
      </w:tr>
      <w:tr w:rsidR="0062437E" w14:paraId="4C2EBEA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L5 User-Facing Trajectory</w:t>
            </w:r>
          </w:p>
        </w:tc>
        <w:tc>
          <w:tcPr>
            <w:tcW w:w="3118" w:type="dxa"/>
          </w:tcPr>
          <w:p>
            <w:pPr>
              <w:pStyle w:val="Normal"/>
            </w:pPr>
            <w:r>
              <w:rPr>
                <w:sz w:val="20"/>
                <w:szCs w:val="22"/>
                <w:lang w:val="en-US" w:eastAsia="en-US" w:bidi="ar-SA"/>
                <w:rFonts w:ascii="Times New Roman" w:hAnsi="Times New Roman" w:eastAsia="Times New Roman" w:cs="Times New Roman"/>
              </w:rPr>
              <w:t>Progress visualisation that emphasises movement; past sessions framed as steps</w:t>
            </w:r>
          </w:p>
        </w:tc>
        <w:tc>
          <w:tcPr>
            <w:tcW w:w="1700" w:type="dxa"/>
          </w:tcPr>
          <w:p>
            <w:pPr>
              <w:pStyle w:val="Normal"/>
            </w:pPr>
            <w:r>
              <w:rPr>
                <w:sz w:val="20"/>
                <w:szCs w:val="22"/>
                <w:lang w:val="en-US" w:eastAsia="en-US" w:bidi="ar-SA"/>
                <w:rFonts w:ascii="Times New Roman" w:hAnsi="Times New Roman" w:eastAsia="Times New Roman" w:cs="Times New Roman"/>
              </w:rPr>
              <w:t>P2</w:t>
            </w:r>
          </w:p>
        </w:tc>
        <w:tc>
          <w:tcPr>
            <w:tcW w:w="2126" w:type="dxa"/>
          </w:tcPr>
          <w:p>
            <w:pPr>
              <w:pStyle w:val="Normal"/>
            </w:pPr>
            <w:r>
              <w:rPr>
                <w:sz w:val="20"/>
                <w:szCs w:val="22"/>
                <w:lang w:val="en-US" w:eastAsia="en-US" w:bidi="ar-SA"/>
                <w:rFonts w:ascii="Times New Roman" w:hAnsi="Times New Roman" w:eastAsia="Times New Roman" w:cs="Times New Roman"/>
              </w:rPr>
              <w:t>New; HTML overlay or device companion screen; no clinical numbers exposed</w:t>
            </w:r>
          </w:p>
        </w:tc>
      </w:tr>
      <w:tr w:rsidR="0062437E" w14:paraId="0C1FEED8"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L6 Staff Coaching Protocol</w:t>
            </w:r>
          </w:p>
        </w:tc>
        <w:tc>
          <w:tcPr>
            <w:tcW w:w="3118" w:type="dxa"/>
          </w:tcPr>
          <w:p>
            <w:pPr>
              <w:pStyle w:val="Normal"/>
            </w:pPr>
            <w:r>
              <w:rPr>
                <w:sz w:val="20"/>
                <w:szCs w:val="22"/>
                <w:lang w:val="en-US" w:eastAsia="en-US" w:bidi="ar-SA"/>
                <w:rFonts w:ascii="Times New Roman" w:hAnsi="Times New Roman" w:eastAsia="Times New Roman" w:cs="Times New Roman"/>
              </w:rPr>
              <w:t>Mastery-language scripts; reframing scripts; intervention triggers based on L2 telemetry</w:t>
            </w:r>
          </w:p>
        </w:tc>
        <w:tc>
          <w:tcPr>
            <w:tcW w:w="1700" w:type="dxa"/>
          </w:tcPr>
          <w:p>
            <w:pPr>
              <w:pStyle w:val="Normal"/>
            </w:pPr>
            <w:r>
              <w:rPr>
                <w:sz w:val="20"/>
                <w:szCs w:val="22"/>
                <w:lang w:val="en-US" w:eastAsia="en-US" w:bidi="ar-SA"/>
                <w:rFonts w:ascii="Times New Roman" w:hAnsi="Times New Roman" w:eastAsia="Times New Roman" w:cs="Times New Roman"/>
              </w:rPr>
              <w:t>P1/P2</w:t>
            </w:r>
          </w:p>
        </w:tc>
        <w:tc>
          <w:tcPr>
            <w:tcW w:w="2126" w:type="dxa"/>
          </w:tcPr>
          <w:p>
            <w:pPr>
              <w:pStyle w:val="Normal"/>
            </w:pPr>
            <w:r>
              <w:rPr>
                <w:sz w:val="20"/>
                <w:szCs w:val="22"/>
                <w:lang w:val="en-US" w:eastAsia="en-US" w:bidi="ar-SA"/>
                <w:rFonts w:ascii="Times New Roman" w:hAnsi="Times New Roman" w:eastAsia="Times New Roman" w:cs="Times New Roman"/>
              </w:rPr>
              <w:t>New; staff training day required; checklists and language cards</w:t>
            </w:r>
          </w:p>
        </w:tc>
      </w:tr>
      <w:tr w:rsidR="0062437E" w14:paraId="05267031"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L7 Adaptive-Learning Telemetry</w:t>
            </w:r>
          </w:p>
        </w:tc>
        <w:tc>
          <w:tcPr>
            <w:tcW w:w="3118" w:type="dxa"/>
          </w:tcPr>
          <w:p>
            <w:pPr>
              <w:pStyle w:val="Normal"/>
            </w:pPr>
            <w:r>
              <w:rPr>
                <w:sz w:val="20"/>
                <w:szCs w:val="22"/>
                <w:lang w:val="en-US" w:eastAsia="en-US" w:bidi="ar-SA"/>
                <w:rFonts w:ascii="Times New Roman" w:hAnsi="Times New Roman" w:eastAsia="Times New Roman" w:cs="Times New Roman"/>
              </w:rPr>
              <w:t>Frame-indicator log; account-closure binary; coaching-trigger log; pre/post entropy measure</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New; required for the model-comparison plan in §6.10</w:t>
            </w:r>
          </w:p>
        </w:tc>
      </w:tr>
    </w:tbl>
    <w:p>
      <w:pPr>
        <w:pStyle w:val="Normal"/>
        <w:spacing w:after="40"/>
      </w:pPr>
    </w:p>
    <w:p>
      <w:pPr>
        <w:pStyle w:val="Normal"/>
        <w:keepNext/>
        <w:spacing w:before="160" w:after="40"/>
        <w:jc w:val="center"/>
      </w:pPr>
      <w:r>
        <w:drawing>
          <wp:inlin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pPr>
        <w:pStyle w:val="FigureCaption"/>
        <w:jc w:val="center"/>
      </w:pPr>
      <w:bookmarkStart w:id="118" w:name="_Toc232024692"/>
      <w:r>
        <w:rPr>
          <w:sz w:val="24"/>
          <w:szCs w:val="22"/>
          <w:lang w:val="en-US" w:eastAsia="en-US" w:bidi="ar-SA"/>
          <w:rFonts w:ascii="Times New Roman" w:hAnsi="Times New Roman" w:eastAsia="Times New Roman" w:cs="Times New Roman"/>
          <w:i/>
          <w:b/>
        </w:rPr>
        <w:t>Figure 7.1. adaptive-learning reference stack: existing five-layer FRA architecture (L0–L4) extended with three additional layers (L5 User-Facing Trajectory; L6 Staff Coaching Protocol; L7 Adaptive-Learning Telemetry).</w:t>
      </w:r>
      <w:bookmarkEnd w:id="118"/>
    </w:p>
    <w:p>
      <w:pPr>
        <w:pStyle w:val="Heading3"/>
      </w:pPr>
      <w:bookmarkStart w:id="119" w:name="_Toc23202460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7.5.2 Trajectory Visualisation Specification</w:t>
      </w:r>
      <w:bookmarkEnd w:id="119"/>
    </w:p>
    <w:p>
      <w:pPr>
        <w:pStyle w:val="Normal"/>
        <w:jc w:val="both"/>
      </w:pPr>
      <w:r>
        <w:rPr>
          <w:szCs w:val="22"/>
          <w:lang w:val="en-US" w:eastAsia="en-US" w:bidi="ar-SA"/>
          <w:rFonts w:ascii="Times New Roman" w:hAnsi="Times New Roman" w:eastAsia="Times New Roman" w:cs="Times New Roman"/>
          <w:sz w:val="24"/>
        </w:rP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pPr>
        <w:pStyle w:val="Heading3"/>
      </w:pPr>
      <w:bookmarkStart w:id="120" w:name="_Toc23202460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7.5A One Architecture: Phenomenon, Principles, Engine</w:t>
      </w:r>
    </w:p>
    <w:p>
      <w:pPr>
        <w:pStyle w:val="Normal"/>
      </w:pPr>
      <w:r>
        <w:rPr>
          <w:szCs w:val="22"/>
          <w:lang w:val="en-US" w:eastAsia="en-US" w:bidi="ar-SA"/>
          <w:rFonts w:ascii="Times New Roman" w:hAnsi="Times New Roman" w:eastAsia="Times New Roman" w:cs="Times New Roman"/>
          <w:sz w:val="24"/>
        </w:rP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pPr>
        <w:pStyle w:val="Normal"/>
      </w:pPr>
      <w:r>
        <w:rPr>
          <w:szCs w:val="22"/>
          <w:lang w:val="en-US" w:eastAsia="en-US" w:bidi="ar-SA"/>
          <w:rFonts w:ascii="Times New Roman" w:hAnsi="Times New Roman" w:eastAsia="Times New Roman" w:cs="Times New Roman"/>
          <w:sz w:val="24"/>
        </w:rP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pPr>
        <w:pStyle w:val="Heading2"/>
      </w:pPr>
      <w:bookmarkStart w:id="121" w:name="_Toc23202460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 Applied Case Studies</w:t>
      </w:r>
      <w:bookmarkEnd w:id="121"/>
    </w:p>
    <w:p>
      <w:pPr>
        <w:pStyle w:val="Heading3"/>
      </w:pPr>
      <w:bookmarkStart w:id="122" w:name="_Toc23202461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7.6A Dynamic Game States as a Loss-Free Mechanic: Reflecting the Literature-Review Knowledge Gaps</w:t>
      </w:r>
      <w:bookmarkEnd w:id="126"/>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pPr>
        <w:pStyle w:val="Heading2"/>
      </w:pPr>
      <w:bookmarkStart w:id="127" w:name="_Toc23202461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t>executed, the generalisability of the framework beyond Chinese-cultural settings is an argued expectation, not a demonstrated result.</w:t>
      </w:r>
    </w:p>
    <w:p>
      <w:pPr>
        <w:pStyle w:val="Heading2"/>
      </w:pPr>
      <w:bookmarkStart w:id="128" w:name="_Toc23202461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pPr>
        <w:pStyle w:val="Heading2"/>
      </w:pPr>
      <w:bookmarkStart w:id="129" w:name="_Toc23202461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7.9 Adaptive Learning as Continuous Improvement: Closing the Loop to the EngD Topic</w:t>
      </w:r>
      <w:bookmarkEnd w:id="129"/>
    </w:p>
    <w:p>
      <w:pPr>
        <w:pStyle w:val="Normal"/>
        <w:jc w:val="both"/>
      </w:pPr>
      <w:r>
        <w:rPr>
          <w:szCs w:val="22"/>
          <w:lang w:val="en-US" w:eastAsia="en-US" w:bidi="ar-SA"/>
          <w:rFonts w:ascii="Times New Roman" w:hAnsi="Times New Roman" w:eastAsia="Times New Roman" w:cs="Times New Roman"/>
          <w:sz w:val="24"/>
        </w:rP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pPr>
        <w:pStyle w:val="Normal"/>
        <w:jc w:val="both"/>
      </w:pPr>
      <w:r>
        <w:rPr>
          <w:szCs w:val="22"/>
          <w:lang w:val="en-US" w:eastAsia="en-US" w:bidi="ar-SA"/>
          <w:rFonts w:ascii="Times New Roman" w:hAnsi="Times New Roman" w:eastAsia="Times New Roman" w:cs="Times New Roman"/>
          <w:sz w:val="24"/>
        </w:rP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8 Contributions, Alternative Explanations, Limitations and Ethics</w:t>
      </w:r>
      <w:bookmarkEnd w:id="130"/>
    </w:p>
    <w:p>
      <w:pPr>
        <w:pStyle w:val="Normal"/>
      </w:pPr>
      <w:r>
        <w:rPr>
          <w:szCs w:val="22"/>
          <w:lang w:val="en-US" w:eastAsia="en-US" w:bidi="ar-SA"/>
          <w:rFonts w:ascii="Times New Roman" w:hAnsi="Times New Roman" w:eastAsia="Times New Roman" w:cs="Times New Roman"/>
          <w:sz w:val="24"/>
        </w:rP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FigureCaption"/>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pPr>
              <w:pStyle w:val="Normal"/>
            </w:pPr>
            <w:r>
              <w:rPr>
                <w:b/>
                <w:sz w:val="24"/>
                <w:szCs w:val="22"/>
                <w:lang w:val="en-US" w:eastAsia="en-US" w:bidi="ar-SA"/>
                <w:rFonts w:ascii="Times New Roman" w:hAnsi="Times New Roman" w:eastAsia="Times New Roman" w:cs="Times New Roman"/>
              </w:rPr>
              <w:t>Register</w:t>
            </w:r>
          </w:p>
        </w:tc>
        <w:tc>
          <w:tcPr>
            <w:tcW w:type="dxa" w:w="2835"/>
          </w:tcPr>
          <w:p>
            <w:pPr>
              <w:pStyle w:val="Normal"/>
            </w:pPr>
            <w:r>
              <w:rPr>
                <w:b/>
                <w:sz w:val="24"/>
                <w:szCs w:val="22"/>
                <w:lang w:val="en-US" w:eastAsia="en-US" w:bidi="ar-SA"/>
                <w:rFonts w:ascii="Times New Roman" w:hAnsi="Times New Roman" w:eastAsia="Times New Roman" w:cs="Times New Roman"/>
              </w:rPr>
              <w:t>Contribution</w:t>
            </w:r>
          </w:p>
        </w:tc>
        <w:tc>
          <w:tcPr>
            <w:tcW w:type="dxa" w:w="2835"/>
          </w:tcPr>
          <w:p>
            <w:pPr>
              <w:pStyle w:val="Normal"/>
            </w:pPr>
            <w:r>
              <w:rPr>
                <w:b/>
                <w:sz w:val="24"/>
                <w:szCs w:val="22"/>
                <w:lang w:val="en-US" w:eastAsia="en-US" w:bidi="ar-SA"/>
                <w:rFonts w:ascii="Times New Roman" w:hAnsi="Times New Roman" w:eastAsia="Times New Roman" w:cs="Times New Roman"/>
              </w:rPr>
              <w:t>Stated in</w:t>
            </w:r>
          </w:p>
        </w:tc>
      </w:tr>
      <w:tr>
        <w:tc>
          <w:tcPr>
            <w:tcW w:type="dxa" w:w="2835"/>
          </w:tcPr>
          <w:p>
            <w:pPr>
              <w:pStyle w:val="Normal"/>
            </w:pPr>
            <w:r>
              <w:rPr>
                <w:sz w:val="24"/>
                <w:szCs w:val="22"/>
                <w:lang w:val="en-US" w:eastAsia="en-US" w:bidi="ar-SA"/>
                <w:rFonts w:ascii="Times New Roman" w:hAnsi="Times New Roman" w:eastAsia="Times New Roman" w:cs="Times New Roman"/>
              </w:rPr>
              <w:t>Scientific</w:t>
            </w:r>
          </w:p>
        </w:tc>
        <w:tc>
          <w:tcPr>
            <w:tcW w:type="dxa" w:w="2835"/>
          </w:tcPr>
          <w:p>
            <w:pPr>
              <w:pStyle w:val="Normal"/>
            </w:pPr>
            <w:r>
              <w:rPr>
                <w:sz w:val="24"/>
                <w:szCs w:val="22"/>
                <w:lang w:val="en-US" w:eastAsia="en-US" w:bidi="ar-SA"/>
                <w:rFonts w:ascii="Times New Roman" w:hAnsi="Times New Roman" w:eastAsia="Times New Roman" w:cs="Times New Roman"/>
              </w:rPr>
              <w:t>FIAS as a provisional behavioural construct; the coupling boundary condition for gamification theory; the competing-appraisal account (endowment protection versus learning trajectory)</w:t>
            </w:r>
          </w:p>
        </w:tc>
        <w:tc>
          <w:tcPr>
            <w:tcW w:type="dxa" w:w="2835"/>
          </w:tcPr>
          <w:p>
            <w:pPr>
              <w:pStyle w:val="Normal"/>
            </w:pPr>
            <w:r>
              <w:rPr>
                <w:sz w:val="24"/>
                <w:szCs w:val="22"/>
                <w:lang w:val="en-US" w:eastAsia="en-US" w:bidi="ar-SA"/>
                <w:rFonts w:ascii="Times New Roman" w:hAnsi="Times New Roman" w:eastAsia="Times New Roman" w:cs="Times New Roman"/>
              </w:rPr>
              <w:t>§8.1, §8.3; Chs 2, 9</w:t>
            </w:r>
          </w:p>
        </w:tc>
      </w:tr>
      <w:tr>
        <w:tc>
          <w:tcPr>
            <w:tcW w:type="dxa" w:w="2835"/>
          </w:tcPr>
          <w:p>
            <w:pPr>
              <w:pStyle w:val="Normal"/>
            </w:pPr>
            <w:r>
              <w:rPr>
                <w:sz w:val="24"/>
                <w:szCs w:val="22"/>
                <w:lang w:val="en-US" w:eastAsia="en-US" w:bidi="ar-SA"/>
                <w:rFonts w:ascii="Times New Roman" w:hAnsi="Times New Roman" w:eastAsia="Times New Roman" w:cs="Times New Roman"/>
              </w:rPr>
              <w:t>Engineering</w:t>
            </w:r>
          </w:p>
        </w:tc>
        <w:tc>
          <w:tcPr>
            <w:tcW w:type="dxa" w:w="2835"/>
          </w:tcPr>
          <w:p>
            <w:pPr>
              <w:pStyle w:val="Normal"/>
            </w:pPr>
            <w:r>
              <w:rPr>
                <w:sz w:val="24"/>
                <w:szCs w:val="22"/>
                <w:lang w:val="en-US" w:eastAsia="en-US" w:bidi="ar-SA"/>
                <w:rFonts w:ascii="Times New Roman" w:hAnsi="Times New Roman" w:eastAsia="Times New Roman" w:cs="Times New Roman"/>
              </w:rPr>
              <w:t>The adaptive-learning framework — three principles over the failure-appraisal chain — and the dynamic game-state engine that operationalises it in real time</w:t>
            </w:r>
          </w:p>
        </w:tc>
        <w:tc>
          <w:tcPr>
            <w:tcW w:type="dxa" w:w="2835"/>
          </w:tcPr>
          <w:p>
            <w:pPr>
              <w:pStyle w:val="Normal"/>
            </w:pPr>
            <w:r>
              <w:rPr>
                <w:sz w:val="24"/>
                <w:szCs w:val="22"/>
                <w:lang w:val="en-US" w:eastAsia="en-US" w:bidi="ar-SA"/>
                <w:rFonts w:ascii="Times New Roman" w:hAnsi="Times New Roman" w:eastAsia="Times New Roman" w:cs="Times New Roman"/>
              </w:rPr>
              <w:t>Ch 7 (§7.4, §7.5, §7.5A); §8.4</w:t>
            </w:r>
          </w:p>
        </w:tc>
      </w:tr>
      <w:tr>
        <w:tc>
          <w:tcPr>
            <w:tcW w:type="dxa" w:w="2835"/>
          </w:tcPr>
          <w:p>
            <w:pPr>
              <w:pStyle w:val="Normal"/>
            </w:pPr>
            <w:r>
              <w:rPr>
                <w:sz w:val="24"/>
                <w:szCs w:val="22"/>
                <w:lang w:val="en-US" w:eastAsia="en-US" w:bidi="ar-SA"/>
                <w:rFonts w:ascii="Times New Roman" w:hAnsi="Times New Roman" w:eastAsia="Times New Roman" w:cs="Times New Roman"/>
              </w:rPr>
              <w:t>Industrial</w:t>
            </w:r>
          </w:p>
        </w:tc>
        <w:tc>
          <w:tcPr>
            <w:tcW w:type="dxa" w:w="2835"/>
          </w:tcPr>
          <w:p>
            <w:pPr>
              <w:pStyle w:val="Normal"/>
            </w:pPr>
            <w:r>
              <w:rPr>
                <w:sz w:val="24"/>
                <w:szCs w:val="22"/>
                <w:lang w:val="en-US" w:eastAsia="en-US" w:bidi="ar-SA"/>
                <w:rFonts w:ascii="Times New Roman" w:hAnsi="Times New Roman" w:eastAsia="Times New Roman" w:cs="Times New Roman"/>
              </w:rPr>
              <w:t>A deployment template on existing FRA infrastructure (decoupled presentation, trajectory layer, staff protocol) and addressable-population evidence for planning</w:t>
            </w:r>
          </w:p>
        </w:tc>
        <w:tc>
          <w:tcPr>
            <w:tcW w:type="dxa" w:w="2835"/>
          </w:tcPr>
          <w:p>
            <w:pPr>
              <w:pStyle w:val="Normal"/>
            </w:pPr>
            <w:r>
              <w:rPr>
                <w:sz w:val="24"/>
                <w:szCs w:val="22"/>
                <w:lang w:val="en-US" w:eastAsia="en-US" w:bidi="ar-SA"/>
                <w:rFonts w:ascii="Times New Roman" w:hAnsi="Times New Roman" w:eastAsia="Times New Roman" w:cs="Times New Roman"/>
              </w:rPr>
              <w:t>§8.4; §9.8</w:t>
            </w:r>
          </w:p>
        </w:tc>
      </w:tr>
      <w:tr>
        <w:tc>
          <w:tcPr>
            <w:tcW w:type="dxa" w:w="2835"/>
          </w:tcPr>
          <w:p>
            <w:pPr>
              <w:pStyle w:val="Normal"/>
            </w:pPr>
            <w:r>
              <w:rPr>
                <w:sz w:val="24"/>
                <w:szCs w:val="22"/>
                <w:lang w:val="en-US" w:eastAsia="en-US" w:bidi="ar-SA"/>
                <w:rFonts w:ascii="Times New Roman" w:hAnsi="Times New Roman" w:eastAsia="Times New Roman" w:cs="Times New Roman"/>
              </w:rPr>
              <w:t>Methodological</w:t>
            </w:r>
          </w:p>
        </w:tc>
        <w:tc>
          <w:tcPr>
            <w:tcW w:type="dxa" w:w="2835"/>
          </w:tcPr>
          <w:p>
            <w:pPr>
              <w:pStyle w:val="Normal"/>
            </w:pPr>
            <w:r>
              <w:rPr>
                <w:sz w:val="24"/>
                <w:szCs w:val="22"/>
                <w:lang w:val="en-US" w:eastAsia="en-US" w:bidi="ar-SA"/>
                <w:rFonts w:ascii="Times New Roman" w:hAnsi="Times New Roman" w:eastAsia="Times New Roman" w:cs="Times New Roman"/>
              </w:rPr>
              <w:t>The null-hypothesis-plus-attribution architecture; the dual-purpose mechanic; the QFD evidence-to-design pipeline; the commitment-gap measurement</w:t>
            </w:r>
          </w:p>
        </w:tc>
        <w:tc>
          <w:tcPr>
            <w:tcW w:type="dxa" w:w="2835"/>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pPr>
        <w:pStyle w:val="Heading2"/>
      </w:pPr>
      <w:bookmarkStart w:id="132" w:name="_Toc23202462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pPr>
        <w:pStyle w:val="Heading2"/>
      </w:pPr>
      <w:bookmarkStart w:id="133" w:name="_Toc23202462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pPr>
        <w:pStyle w:val="Heading2"/>
      </w:pPr>
      <w:bookmarkStart w:id="135" w:name="_Toc23202462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8.4A A Forward-Looking Contribution: The Language-Mode Boundary and Grounded Adaptive Learning</w:t>
      </w:r>
      <w:bookmarkEnd w:id="135"/>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rather than declaring them ruled out. Eight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pPr>
        <w:pStyle w:val="Heading3"/>
      </w:pPr>
      <w:bookmarkStart w:id="137" w:name="_Toc23202462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pPr>
        <w:pStyle w:val="Heading3"/>
      </w:pPr>
      <w:bookmarkStart w:id="143" w:name="_Toc23202463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failure occurred through the body's own balance — weight shifts on the pressure panel — whereas in Stage 3 most participants steered with a trackpad or arrow keys (§6.3). The difference between the stages may therefore reflect not only the changed participant-facing frame but also the changed carrier of failure: a failure produced by one's own balance may speak more directly to bodily decline than a failure produced by one's fingers. Response: this alternative is viable, and the present between-cohort design does not separate it from the framing account. It is, however, partly absorbed into the coupling account itself, because the bodily measurement pathway is precisely what the dual-purpose mechanic couples to the game (§5.2A): removing the pressure panel removed the clinical frame and the embodied exposure together. The within-cohort study of §8.8 treats the game, the input device and the frame as independently manipulable factors, so that the contributions of framing and of input modality can be estimated separately.</w:t>
      </w:r>
    </w:p>
    <w:p>
      <w:pPr>
        <w:pStyle w:val="Heading2"/>
      </w:pPr>
      <w:bookmarkStart w:id="144" w:name="_Toc23202463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pPr>
        <w:pStyle w:val="Heading2"/>
      </w:pPr>
      <w:bookmarkStart w:id="145" w:name="_Toc23202463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8.6A A Seventh Limitation: The Language-Mode Boundary of the Layer-2 AI</w:t>
      </w:r>
      <w:bookmarkEnd w:id="145"/>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8.6B Extending the Unit of Analysis: Abandonment as a Three-Party Decision</w:t>
      </w:r>
    </w:p>
    <w:p>
      <w:pPr>
        <w:pStyle w:val="Normal"/>
      </w:pPr>
      <w:r>
        <w:rPr>
          <w:szCs w:val="22"/>
          <w:lang w:val="en-US" w:eastAsia="en-US" w:bidi="ar-SA"/>
          <w:rFonts w:ascii="Times New Roman" w:hAnsi="Times New Roman" w:eastAsia="Times New Roman" w:cs="Times New Roman"/>
          <w:sz w:val="24"/>
        </w:rP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pPr>
        <w:pStyle w:val="Normal"/>
      </w:pPr>
      <w:r>
        <w:rPr>
          <w:szCs w:val="22"/>
          <w:lang w:val="en-US" w:eastAsia="en-US" w:bidi="ar-SA"/>
          <w:rFonts w:ascii="Times New Roman" w:hAnsi="Times New Roman" w:eastAsia="Times New Roman" w:cs="Times New Roman"/>
          <w:sz w:val="24"/>
        </w:rP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pPr>
        <w:pStyle w:val="Heading2"/>
      </w:pPr>
      <w:bookmarkStart w:id="146" w:name="_Toc23202463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8.7 Ethical Considerations</w:t>
      </w:r>
      <w:bookmarkEnd w:id="146"/>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t>voluntary participation with no consequence for refusal; and difficulty curves calibrated so that even the worst-balance participant could complete an opening session.</w:t>
      </w:r>
    </w:p>
    <w:p>
      <w:pPr>
        <w:pStyle w:val="Heading3"/>
      </w:pPr>
      <w:bookmarkStart w:id="148" w:name="_Toc23202463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pPr>
        <w:pStyle w:val="Heading3"/>
      </w:pPr>
      <w:bookmarkStart w:id="150" w:name="_Toc23202463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pPr>
        <w:pStyle w:val="Heading3"/>
      </w:pPr>
      <w:bookmarkStart w:id="151" w:name="_Toc23202463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8.8 Future Research</w:t>
      </w:r>
      <w:bookmarkEnd w:id="152"/>
    </w:p>
    <w:p>
      <w:pPr>
        <w:pStyle w:val="Normal"/>
        <w:jc w:val="both"/>
      </w:pPr>
      <w:r>
        <w:rPr>
          <w:i w:val="0"/>
          <w:szCs w:val="22"/>
          <w:lang w:val="en-US" w:eastAsia="en-US" w:bidi="ar-SA"/>
          <w:rFonts w:ascii="Times New Roman" w:hAnsi="Times New Roman" w:eastAsia="Times New Roman" w:cs="Times New Roman"/>
          <w:sz w:val="24"/>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pPr>
        <w:pStyle w:val="Heading2"/>
      </w:pPr>
      <w:bookmarkStart w:id="153" w:name="_Toc23202464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Chapter 9 Conclusion</w:t>
      </w:r>
      <w:bookmarkEnd w:id="154"/>
    </w:p>
    <w:p>
      <w:pPr>
        <w:pStyle w:val="Heading2"/>
      </w:pPr>
      <w:bookmarkStart w:id="155" w:name="_Toc23202464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pPr>
        <w:pStyle w:val="Heading2"/>
      </w:pPr>
      <w:bookmarkStart w:id="156" w:name="_Toc23202464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9.3 The Central Finding: Evidence Consistent with a Coupling or Framing Effect</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pPr>
        <w:pStyle w:val="Normal"/>
        <w:jc w:val="both"/>
      </w:pPr>
      <w:r>
        <w:rPr>
          <w:szCs w:val="22"/>
          <w:lang w:val="en-US" w:eastAsia="en-US" w:bidi="ar-SA"/>
          <w:rFonts w:ascii="Times New Roman" w:hAnsi="Times New Roman" w:eastAsia="Times New Roman" w:cs="Times New Roman"/>
          <w:sz w:val="24"/>
        </w:rP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pPr>
        <w:pStyle w:val="Normal"/>
        <w:jc w:val="both"/>
      </w:pPr>
      <w:r>
        <w:rPr>
          <w:szCs w:val="22"/>
          <w:lang w:val="en-US" w:eastAsia="en-US" w:bidi="ar-SA"/>
          <w:rFonts w:ascii="Times New Roman" w:hAnsi="Times New Roman" w:eastAsia="Times New Roman" w:cs="Times New Roman"/>
          <w:sz w:val="24"/>
        </w:rP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pPr>
        <w:pStyle w:val="Heading2"/>
      </w:pPr>
      <w:bookmarkStart w:id="157" w:name="_Toc23202464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9.4 Decoupling Preserves the Viability of Game Theory for Elderly Engagement</w:t>
      </w:r>
      <w:bookmarkEnd w:id="157"/>
    </w:p>
    <w:p>
      <w:pPr>
        <w:pStyle w:val="Normal"/>
        <w:jc w:val="both"/>
      </w:pPr>
      <w:r>
        <w:rPr>
          <w:szCs w:val="22"/>
          <w:lang w:val="en-US" w:eastAsia="en-US" w:bidi="ar-SA"/>
          <w:rFonts w:ascii="Times New Roman" w:hAnsi="Times New Roman" w:eastAsia="Times New Roman" w:cs="Times New Roman"/>
          <w:sz w:val="24"/>
        </w:rPr>
        <w:t>A second conclusion is that the Stage-3 results are consistent with gamification theory remaining applicable to elderly engagement. Stage 3 functioned as the programme's positive control (§6.1): the same game mechanics, decoupled from the clinical apparatus and its participant-facing clinical frame (§6.3),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pPr>
        <w:pStyle w:val="Normal"/>
        <w:jc w:val="both"/>
      </w:pPr>
      <w:r>
        <w:rPr>
          <w:szCs w:val="22"/>
          <w:lang w:val="en-US" w:eastAsia="en-US" w:bidi="ar-SA"/>
          <w:rFonts w:ascii="Times New Roman" w:hAnsi="Times New Roman" w:eastAsia="Times New Roman" w:cs="Times New Roman"/>
          <w:sz w:val="24"/>
        </w:rP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9.5 Adaptive Learning as the Design Counter</w:t>
      </w:r>
      <w:bookmarkEnd w:id="158"/>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9.7 Theoretical Contributions</w:t>
      </w:r>
      <w:bookmarkEnd w:id="159"/>
    </w:p>
    <w:p>
      <w:pPr>
        <w:pStyle w:val="Normal"/>
        <w:jc w:val="both"/>
      </w:pPr>
      <w:r>
        <w:rPr>
          <w:i w:val="0"/>
          <w:szCs w:val="22"/>
          <w:lang w:val="en-US" w:eastAsia="en-US" w:bidi="ar-SA"/>
          <w:rFonts w:ascii="Times New Roman" w:hAnsi="Times New Roman" w:eastAsia="Times New Roman" w:cs="Times New Roman"/>
          <w:sz w:val="24"/>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pPr>
        <w:pStyle w:val="Heading2"/>
      </w:pPr>
      <w:bookmarkStart w:id="160" w:name="_Toc2320246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pPr>
        <w:pStyle w:val="Normal"/>
        <w:jc w:val="both"/>
      </w:pPr>
      <w:r>
        <w:rPr>
          <w:szCs w:val="22"/>
          <w:lang w:val="en-US" w:eastAsia="en-US" w:bidi="ar-SA"/>
          <w:rFonts w:ascii="Times New Roman" w:hAnsi="Times New Roman" w:eastAsia="Times New Roman" w:cs="Times New Roman"/>
          <w:sz w:val="24"/>
        </w:rP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pPr>
        <w:pStyle w:val="Normal"/>
        <w:jc w:val="both"/>
      </w:pPr>
      <w:r>
        <w:rPr>
          <w:szCs w:val="22"/>
          <w:lang w:val="en-US" w:eastAsia="en-US" w:bidi="ar-SA"/>
          <w:rFonts w:ascii="Times New Roman" w:hAnsi="Times New Roman" w:eastAsia="Times New Roman" w:cs="Times New Roman"/>
          <w:sz w:val="24"/>
        </w:rP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pPr>
        <w:pStyle w:val="Heading2"/>
      </w:pPr>
      <w:bookmarkStart w:id="161" w:name="_Toc2320246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t>evaluated in the empirical programme,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t>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pPr>
              <w:pStyle w:val="Normal"/>
            </w:pPr>
            <w:r>
              <w:rPr>
                <w:b/>
                <w:sz w:val="24"/>
                <w:szCs w:val="22"/>
                <w:lang w:val="en-US" w:eastAsia="en-US" w:bidi="ar-SA"/>
                <w:rFonts w:ascii="Times New Roman" w:hAnsi="Times New Roman" w:eastAsia="Times New Roman" w:cs="Times New Roman"/>
              </w:rPr>
              <w:t>Dimension</w:t>
            </w:r>
          </w:p>
        </w:tc>
        <w:tc>
          <w:tcPr>
            <w:tcW w:w="2976" w:type="dxa"/>
          </w:tcPr>
          <w:p>
            <w:pPr>
              <w:pStyle w:val="Normal"/>
            </w:pPr>
            <w:r>
              <w:rPr>
                <w:szCs w:val="22"/>
                <w:lang w:val="en-US" w:eastAsia="en-US" w:bidi="ar-SA"/>
                <w:rFonts w:ascii="Times New Roman" w:hAnsi="Times New Roman" w:eastAsia="Times New Roman" w:cs="Times New Roman"/>
                <w:sz w:val="24"/>
              </w:rPr>
              <w:t>Deployed Stage-2 adaptation configuration</w:t>
            </w:r>
          </w:p>
        </w:tc>
        <w:tc>
          <w:tcPr>
            <w:tcW w:w="3969" w:type="dxa"/>
          </w:tcPr>
          <w:p>
            <w:pPr>
              <w:pStyle w:val="Normal"/>
            </w:pPr>
            <w:r>
              <w:rPr>
                <w:szCs w:val="22"/>
                <w:lang w:val="en-US" w:eastAsia="en-US" w:bidi="ar-SA"/>
                <w:rFonts w:ascii="Times New Roman" w:hAnsi="Times New Roman" w:eastAsia="Times New Roman" w:cs="Times New Roman"/>
                <w:sz w:val="24"/>
              </w:rPr>
              <w:t>Proposed person-conditioned extension</w:t>
            </w:r>
          </w:p>
        </w:tc>
      </w:tr>
      <w:tr w:rsidR="0062437E" w14:paraId="2864A92A"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2976"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969"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Input at run time</w:t>
            </w:r>
          </w:p>
        </w:tc>
        <w:tc>
          <w:tcPr>
            <w:tcW w:w="2976"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969" w:type="dxa"/>
          </w:tcPr>
          <w:p>
            <w:pPr>
              <w:pStyle w:val="Normal"/>
            </w:pPr>
            <w:r>
              <w:rPr>
                <w:sz w:val="24"/>
                <w:szCs w:val="22"/>
                <w:lang w:val="en-US" w:eastAsia="en-US" w:bidi="ar-SA"/>
                <w:rFonts w:ascii="Times New Roman" w:hAnsi="Times New Roman" w:eastAsia="Times New Roman" w:cs="Times New Roman"/>
              </w:rPr>
              <w:t>Instant physical and behavioural signals, plus telemetry, captured as they occur</w:t>
            </w:r>
          </w:p>
        </w:tc>
      </w:tr>
      <w:tr w:rsidR="0062437E" w14:paraId="34C88DFE"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Timescale</w:t>
            </w:r>
          </w:p>
        </w:tc>
        <w:tc>
          <w:tcPr>
            <w:tcW w:w="2976"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969" w:type="dxa"/>
          </w:tcPr>
          <w:p>
            <w:pPr>
              <w:pStyle w:val="Normal"/>
            </w:pPr>
            <w:r>
              <w:rPr>
                <w:sz w:val="24"/>
                <w:szCs w:val="22"/>
                <w:lang w:val="en-US" w:eastAsia="en-US" w:bidi="ar-SA"/>
                <w:rFonts w:ascii="Times New Roman" w:hAnsi="Times New Roman" w:eastAsia="Times New Roman" w:cs="Times New Roman"/>
              </w:rPr>
              <w:t>Continuous: perception at one-second cadence; action within seconds of the event</w:t>
            </w:r>
          </w:p>
        </w:tc>
      </w:tr>
      <w:tr w:rsidR="0062437E" w14:paraId="4DDCCB00"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Object of learning</w:t>
            </w:r>
          </w:p>
        </w:tc>
        <w:tc>
          <w:tcPr>
            <w:tcW w:w="2976"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969" w:type="dxa"/>
          </w:tcPr>
          <w:p>
            <w:pPr>
              <w:pStyle w:val="Normal"/>
            </w:pPr>
            <w:r>
              <w:rPr>
                <w:szCs w:val="22"/>
                <w:lang w:val="en-US" w:eastAsia="en-US" w:bidi="ar-SA"/>
                <w:rFonts w:ascii="Times New Roman" w:hAnsi="Times New Roman" w:eastAsia="Times New Roman" w:cs="Times New Roman"/>
                <w:sz w:val="24"/>
              </w:rPr>
              <w:t>A person-specific state estimate updated during interaction</w:t>
            </w:r>
          </w:p>
        </w:tc>
      </w:tr>
      <w:tr w:rsidR="0062437E" w14:paraId="34FEE616"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Output</w:t>
            </w:r>
          </w:p>
        </w:tc>
        <w:tc>
          <w:tcPr>
            <w:tcW w:w="2976"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969"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4"/>
              </w:rPr>
              <w:t>Feedback channel</w:t>
            </w:r>
          </w:p>
        </w:tc>
        <w:tc>
          <w:tcPr>
            <w:tcW w:w="2976"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969"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2976"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969"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Theoretical anchors</w:t>
            </w:r>
          </w:p>
        </w:tc>
        <w:tc>
          <w:tcPr>
            <w:tcW w:w="2976"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969"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Evaluation criterion</w:t>
            </w:r>
          </w:p>
        </w:tc>
        <w:tc>
          <w:tcPr>
            <w:tcW w:w="2976"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969"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pPr>
        <w:pStyle w:val="Heading2"/>
      </w:pPr>
      <w:bookmarkStart w:id="163" w:name="_Toc23202466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pPr>
        <w:pStyle w:val="Heading2"/>
      </w:pPr>
      <w:bookmarkStart w:id="164" w:name="_Toc23202466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 xml:space="preserve">Stage 3 showed that post-failure return was common in a separate decoupled cohort, including among adults aged 65-80. It would be inappropriate to estimate that "roughly two" of the three F4 residents would have returned under decoupling, because the studies </w:t>
        <w:t>are not individual-level counterfactuals and the samples differ. The defensible conclusion is that the Stage-3 pattern makes non-return appear modifiable and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pPr>
        <w:pStyle w:val="Normal"/>
        <w:jc w:val="both"/>
      </w:pPr>
      <w:r>
        <w:rPr>
          <w:szCs w:val="22"/>
          <w:lang w:val="en-US" w:eastAsia="en-US" w:bidi="ar-SA"/>
          <w:rFonts w:ascii="Times New Roman" w:hAnsi="Times New Roman" w:eastAsia="Times New Roman" w:cs="Times New Roman"/>
          <w:sz w:val="24"/>
        </w:rP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References</w:t>
      </w:r>
      <w:bookmarkEnd w:id="166"/>
    </w:p>
    <w:p>
      <w:pPr>
        <w:pStyle w:val="Normal"/>
      </w:pPr>
      <w:r>
        <w:rPr>
          <w:szCs w:val="22"/>
          <w:lang w:val="en-US" w:eastAsia="en-US" w:bidi="ar-SA"/>
          <w:rFonts w:ascii="Times New Roman" w:hAnsi="Times New Roman" w:eastAsia="Times New Roman" w:cs="Times New Roman"/>
          <w:sz w:val="24"/>
        </w:rPr>
        <w:t>Akao, Y. (1990). Quality function deployment: Integrating customer requirements into product design. Productivity Press.</w:t>
      </w:r>
    </w:p>
    <w:p>
      <w:pPr>
        <w:pStyle w:val="Normal"/>
        <w:ind w:left="720" w:hanging="720"/>
        <w:jc w:val="both"/>
      </w:pPr>
      <w:r>
        <w:rPr>
          <w:szCs w:val="22"/>
          <w:lang w:val="en-US" w:eastAsia="en-US" w:bidi="ar-SA"/>
          <w:rFonts w:ascii="Times New Roman" w:hAnsi="Times New Roman" w:eastAsia="Times New Roman" w:cs="Times New Roman"/>
          <w:sz w:val="24"/>
        </w:rPr>
        <w:t>Altmeyer, M., Lessel, P., &amp; Krüger, A. (2018). Investigating gamification for seniors aged 75+. In Proceedings of the 2018 Designing Interactive Systems Conference (pp. 453–458). ACM. https://doi.org/10.1145/3196709.3196799</w:t>
      </w:r>
    </w:p>
    <w:p>
      <w:pPr>
        <w:pStyle w:val="Normal"/>
        <w:ind w:left="720" w:hanging="720"/>
        <w:jc w:val="both"/>
      </w:pPr>
      <w:r>
        <w:rPr>
          <w:szCs w:val="22"/>
          <w:lang w:val="en-US" w:eastAsia="en-US" w:bidi="ar-SA"/>
          <w:rFonts w:ascii="Times New Roman" w:hAnsi="Times New Roman" w:eastAsia="Times New Roman" w:cs="Times New Roman"/>
          <w:sz w:val="24"/>
        </w:rPr>
        <w:t>An, S., Cheung, C. F., &amp; Lo, Y. T. (2025). Improving older adults' technology adoption on mobile map: A gamification approach. International Journal of Human–Computer Interaction, 41(15), 9633–9651. https://doi.org/10.1080/10447318.2024.2426914</w:t>
      </w:r>
    </w:p>
    <w:p>
      <w:pPr>
        <w:pStyle w:val="Normal"/>
        <w:ind w:left="720" w:hanging="720"/>
        <w:jc w:val="both"/>
      </w:pPr>
      <w:r>
        <w:rPr>
          <w:szCs w:val="22"/>
          <w:lang w:val="en-US" w:eastAsia="en-US" w:bidi="ar-SA"/>
          <w:rFonts w:ascii="Times New Roman" w:hAnsi="Times New Roman" w:eastAsia="Times New Roman" w:cs="Times New Roman"/>
          <w:sz w:val="24"/>
        </w:rP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pStyle w:val="Normal"/>
        <w:ind w:left="720" w:hanging="720"/>
        <w:jc w:val="both"/>
      </w:pPr>
      <w:r>
        <w:rPr>
          <w:szCs w:val="22"/>
          <w:lang w:val="en-US" w:eastAsia="en-US" w:bidi="ar-SA"/>
          <w:rFonts w:ascii="Times New Roman" w:hAnsi="Times New Roman" w:eastAsia="Times New Roman" w:cs="Times New Roman"/>
          <w:sz w:val="24"/>
        </w:rPr>
        <w:t>Antonides, G., de Groot, I. M., &amp; van Raaij, W. F. (2011). Mental budgeting and the management of household finance. Journal of Economic Psychology, 32(4), 546–555.</w:t>
      </w:r>
    </w:p>
    <w:p>
      <w:pPr>
        <w:pStyle w:val="Normal"/>
        <w:ind w:left="720" w:hanging="720"/>
        <w:jc w:val="both"/>
      </w:pPr>
      <w:r>
        <w:rPr>
          <w:szCs w:val="22"/>
          <w:lang w:val="en-US" w:eastAsia="en-US" w:bidi="ar-SA"/>
          <w:rFonts w:ascii="Times New Roman" w:hAnsi="Times New Roman" w:eastAsia="Times New Roman" w:cs="Times New Roman"/>
          <w:sz w:val="24"/>
        </w:rPr>
        <w:t>Bandura, A. (1977). Self-efficacy: Toward a unifying theory of behavioral change. Psychological Review, 84(2), 191–215.</w:t>
      </w:r>
    </w:p>
    <w:p>
      <w:pPr>
        <w:pStyle w:val="Normal"/>
        <w:ind w:left="720" w:hanging="720"/>
        <w:jc w:val="both"/>
      </w:pPr>
      <w:r>
        <w:rPr>
          <w:szCs w:val="22"/>
          <w:lang w:val="en-US" w:eastAsia="en-US" w:bidi="ar-SA"/>
          <w:rFonts w:ascii="Times New Roman" w:hAnsi="Times New Roman" w:eastAsia="Times New Roman" w:cs="Times New Roman"/>
          <w:sz w:val="24"/>
        </w:rPr>
        <w:t>Bandura, A. (1997). Self-efficacy: The exercise of control. W. H. Freeman.</w:t>
      </w:r>
    </w:p>
    <w:p>
      <w:pPr>
        <w:pStyle w:val="Normal"/>
        <w:ind w:left="720" w:hanging="720"/>
        <w:jc w:val="both"/>
      </w:pPr>
      <w:r>
        <w:rPr>
          <w:szCs w:val="22"/>
          <w:lang w:val="en-US" w:eastAsia="en-US" w:bidi="ar-SA"/>
          <w:rFonts w:ascii="Times New Roman" w:hAnsi="Times New Roman" w:eastAsia="Times New Roman" w:cs="Times New Roman"/>
          <w:sz w:val="24"/>
        </w:rPr>
        <w:t>Barber, S. J. (2017). An examination of age-based stereotype threat about cognitive decline. Perspectives on Psychological Science, 12(1), 62–90.</w:t>
      </w:r>
    </w:p>
    <w:p>
      <w:pPr>
        <w:pStyle w:val="Normal"/>
        <w:ind w:left="720" w:hanging="720"/>
        <w:jc w:val="both"/>
      </w:pPr>
      <w:r>
        <w:rPr>
          <w:szCs w:val="22"/>
          <w:lang w:val="en-US" w:eastAsia="en-US" w:bidi="ar-SA"/>
          <w:rFonts w:ascii="Times New Roman" w:hAnsi="Times New Roman" w:eastAsia="Times New Roman" w:cs="Times New Roman"/>
          <w:sz w:val="24"/>
        </w:rPr>
        <w:t>Bjork, E. L., &amp; Bjork, R. A. (2011). Making things hard on yourself, but in a good way: Creating desirable difficulties to enhance learning. In M. A. Gernsbacher, R. W. Pew, L. M. Hough, &amp; J. R. Pomerantz (Eds.), Psychology and the real world (pp. 56–64). Worth.</w:t>
      </w:r>
    </w:p>
    <w:p>
      <w:pPr>
        <w:pStyle w:val="Normal"/>
        <w:ind w:left="720" w:hanging="720"/>
        <w:jc w:val="both"/>
      </w:pPr>
      <w:r>
        <w:rPr>
          <w:szCs w:val="22"/>
          <w:lang w:val="en-US" w:eastAsia="en-US" w:bidi="ar-SA"/>
          <w:rFonts w:ascii="Times New Roman" w:hAnsi="Times New Roman" w:eastAsia="Times New Roman" w:cs="Times New Roman"/>
          <w:sz w:val="24"/>
        </w:rPr>
        <w:t>Broady, T., Chan, A., &amp; Caputi, P. (2010). Older and younger adults' attitudes towards computers. British Journal of Educational Technology, 41(3), 473–485.</w:t>
      </w:r>
    </w:p>
    <w:p>
      <w:pPr>
        <w:pStyle w:val="Normal"/>
        <w:ind w:left="720" w:hanging="720"/>
        <w:jc w:val="both"/>
      </w:pPr>
      <w:r>
        <w:rPr>
          <w:szCs w:val="22"/>
          <w:lang w:val="en-US" w:eastAsia="en-US" w:bidi="ar-SA"/>
          <w:rFonts w:ascii="Times New Roman" w:hAnsi="Times New Roman" w:eastAsia="Times New Roman" w:cs="Times New Roman"/>
          <w:sz w:val="24"/>
        </w:rPr>
        <w:t>Brooks, R. A. (1991). Intelligence without representation. Artificial Intelligence, 47(1–3), 139–159.</w:t>
      </w:r>
    </w:p>
    <w:p>
      <w:pPr>
        <w:pStyle w:val="Normal"/>
        <w:ind w:left="720" w:hanging="720"/>
        <w:jc w:val="both"/>
      </w:pPr>
      <w:r>
        <w:rPr>
          <w:szCs w:val="22"/>
          <w:lang w:val="en-US" w:eastAsia="en-US" w:bidi="ar-SA"/>
          <w:rFonts w:ascii="Times New Roman" w:hAnsi="Times New Roman" w:eastAsia="Times New Roman" w:cs="Times New Roman"/>
          <w:sz w:val="24"/>
        </w:rPr>
        <w:t>Centers for Disease Control and Prevention. (2023). Facts about falls. U.S. Department of Health and Human Services.</w:t>
      </w:r>
    </w:p>
    <w:p>
      <w:pPr>
        <w:pStyle w:val="Normal"/>
      </w:pPr>
      <w:r>
        <w:rPr>
          <w:szCs w:val="22"/>
          <w:lang w:val="en-US" w:eastAsia="en-US" w:bidi="ar-SA"/>
          <w:rFonts w:ascii="Times New Roman" w:hAnsi="Times New Roman" w:eastAsia="Times New Roman" w:cs="Times New Roman"/>
          <w:sz w:val="24"/>
        </w:rPr>
        <w:t>Chan, L.-K., &amp; Wu, M.-L. (2002). Quality function deployment: A literature review. European Journal of Operational Research, 143(3), 463–497.</w:t>
      </w:r>
    </w:p>
    <w:p>
      <w:pPr>
        <w:pStyle w:val="Normal"/>
        <w:ind w:left="720" w:hanging="720"/>
        <w:jc w:val="both"/>
      </w:pPr>
      <w:r>
        <w:rPr>
          <w:szCs w:val="22"/>
          <w:lang w:val="en-US" w:eastAsia="en-US" w:bidi="ar-SA"/>
          <w:rFonts w:ascii="Times New Roman" w:hAnsi="Times New Roman" w:eastAsia="Times New Roman" w:cs="Times New Roman"/>
          <w:sz w:val="24"/>
        </w:rPr>
        <w:t>Chen, G., Gully, S. M., &amp; Eden, D. (2001). Validation of a new general self-efficacy scale. Organizational Research Methods, 4(1), 62–83.</w:t>
      </w:r>
    </w:p>
    <w:p>
      <w:pPr>
        <w:pStyle w:val="Normal"/>
        <w:ind w:left="720" w:hanging="720"/>
        <w:jc w:val="both"/>
      </w:pPr>
      <w:r>
        <w:rPr>
          <w:szCs w:val="22"/>
          <w:lang w:val="en-US" w:eastAsia="en-US" w:bidi="ar-SA"/>
          <w:rFonts w:ascii="Times New Roman" w:hAnsi="Times New Roman" w:eastAsia="Times New Roman" w:cs="Times New Roman"/>
          <w:sz w:val="24"/>
        </w:rPr>
        <w:t>Chen, K., &amp; Chan, A. H. S. (2014). Gerontechnology acceptance by elderly Hong Kong Chinese: A senior technology acceptance model (STAM). Ergonomics, 57(5), 635–652.</w:t>
      </w:r>
    </w:p>
    <w:p>
      <w:pPr>
        <w:pStyle w:val="Normal"/>
        <w:ind w:left="720" w:hanging="720"/>
        <w:jc w:val="both"/>
      </w:pPr>
      <w:r>
        <w:rPr>
          <w:szCs w:val="22"/>
          <w:lang w:val="en-US" w:eastAsia="en-US" w:bidi="ar-SA"/>
          <w:rFonts w:ascii="Times New Roman" w:hAnsi="Times New Roman" w:eastAsia="Times New Roman" w:cs="Times New Roman"/>
          <w:sz w:val="24"/>
        </w:rPr>
        <w:t>Chou, Y. (2015). Actionable gamification: Beyond points, badges, and leaderboards. Octalysis Media.</w:t>
      </w:r>
    </w:p>
    <w:p>
      <w:pPr>
        <w:pStyle w:val="Normal"/>
        <w:ind w:left="720" w:hanging="720"/>
        <w:jc w:val="both"/>
      </w:pPr>
      <w:r>
        <w:rPr>
          <w:szCs w:val="22"/>
          <w:lang w:val="en-US" w:eastAsia="en-US" w:bidi="ar-SA"/>
          <w:rFonts w:ascii="Times New Roman" w:hAnsi="Times New Roman" w:eastAsia="Times New Roman" w:cs="Times New Roman"/>
          <w:sz w:val="24"/>
        </w:rPr>
        <w:t>Compeau, D. R., &amp; Higgins, C. A. (1995). Computer self-efficacy: Development of a measure and initial test. MIS Quarterly, 19(2), 189–211.</w:t>
      </w:r>
    </w:p>
    <w:p>
      <w:pPr>
        <w:pStyle w:val="Normal"/>
        <w:ind w:left="720" w:hanging="720"/>
        <w:jc w:val="both"/>
      </w:pPr>
      <w:r>
        <w:rPr>
          <w:szCs w:val="22"/>
          <w:lang w:val="en-US" w:eastAsia="en-US" w:bidi="ar-SA"/>
          <w:rFonts w:ascii="Times New Roman" w:hAnsi="Times New Roman" w:eastAsia="Times New Roman" w:cs="Times New Roman"/>
          <w:sz w:val="24"/>
        </w:rPr>
        <w:t>Csikszentmihalyi, M. (1990). Flow: The psychology of optimal experience. Harper &amp; Row.</w:t>
      </w:r>
    </w:p>
    <w:p>
      <w:pPr>
        <w:pStyle w:val="Normal"/>
        <w:ind w:left="720" w:hanging="720"/>
        <w:jc w:val="both"/>
      </w:pPr>
      <w:r>
        <w:rPr>
          <w:szCs w:val="22"/>
          <w:lang w:val="en-US" w:eastAsia="en-US" w:bidi="ar-SA"/>
          <w:rFonts w:ascii="Times New Roman" w:hAnsi="Times New Roman" w:eastAsia="Times New Roman" w:cs="Times New Roman"/>
          <w:sz w:val="24"/>
        </w:rPr>
        <w:t>Davis, F. D. (1989). Perceived usefulness, perceived ease of use, and user acceptance of information technology. MIS Quarterly, 13(3), 319–340.</w:t>
      </w:r>
    </w:p>
    <w:p>
      <w:pPr>
        <w:pStyle w:val="Normal"/>
        <w:ind w:left="720" w:hanging="720"/>
        <w:jc w:val="both"/>
      </w:pPr>
      <w:r>
        <w:rPr>
          <w:szCs w:val="22"/>
          <w:lang w:val="en-US" w:eastAsia="en-US" w:bidi="ar-SA"/>
          <w:rFonts w:ascii="Times New Roman" w:hAnsi="Times New Roman" w:eastAsia="Times New Roman" w:cs="Times New Roman"/>
          <w:sz w:val="24"/>
        </w:rPr>
        <w:t>Deci, E. L., &amp; Ryan, R. M. (1985). Intrinsic motivation and self-determination in human behavior. Plenum.</w:t>
      </w:r>
    </w:p>
    <w:p>
      <w:pPr>
        <w:pStyle w:val="Normal"/>
        <w:ind w:left="720" w:hanging="720"/>
        <w:jc w:val="both"/>
      </w:pPr>
      <w:r>
        <w:rPr>
          <w:szCs w:val="22"/>
          <w:lang w:val="en-US" w:eastAsia="en-US" w:bidi="ar-SA"/>
          <w:rFonts w:ascii="Times New Roman" w:hAnsi="Times New Roman" w:eastAsia="Times New Roman" w:cs="Times New Roman"/>
          <w:sz w:val="24"/>
        </w:rPr>
        <w:t>Deterding, S., Dixon, D., Khaled, R., &amp; Nacke, L. (2011). From game design elements to gamefulness: Defining gamification. In Proceedings of the 15th International Academic MindTrek Conference (pp. 9–15). ACM.</w:t>
      </w:r>
    </w:p>
    <w:p>
      <w:pPr>
        <w:pStyle w:val="Normal"/>
        <w:ind w:left="720" w:hanging="720"/>
        <w:jc w:val="both"/>
      </w:pPr>
      <w:r>
        <w:rPr>
          <w:szCs w:val="22"/>
          <w:lang w:val="en-US" w:eastAsia="en-US" w:bidi="ar-SA"/>
          <w:rFonts w:ascii="Times New Roman" w:hAnsi="Times New Roman" w:eastAsia="Times New Roman" w:cs="Times New Roman"/>
          <w:sz w:val="24"/>
        </w:rPr>
        <w:t>D'Mello, S., &amp; Graesser, A. (2012). Dynamics of affective states during complex learning. Learning and Instruction, 22(2), 145–157.</w:t>
      </w:r>
    </w:p>
    <w:p>
      <w:pPr>
        <w:pStyle w:val="Normal"/>
        <w:ind w:left="720" w:hanging="720"/>
        <w:jc w:val="both"/>
      </w:pPr>
      <w:r>
        <w:rPr>
          <w:szCs w:val="22"/>
          <w:lang w:val="en-US" w:eastAsia="en-US" w:bidi="ar-SA"/>
          <w:rFonts w:ascii="Times New Roman" w:hAnsi="Times New Roman" w:eastAsia="Times New Roman" w:cs="Times New Roman"/>
          <w:sz w:val="24"/>
        </w:rPr>
        <w:t>Elliot, A. J., &amp; Murayama, K. (2008). On the measurement of achievement goals: Critique, illustration, and application. Journal of Educational Psychology, 100(3), 613–628.</w:t>
      </w:r>
    </w:p>
    <w:p>
      <w:pPr>
        <w:pStyle w:val="Normal"/>
        <w:ind w:left="720" w:hanging="720"/>
        <w:jc w:val="both"/>
      </w:pPr>
      <w:r>
        <w:rPr>
          <w:szCs w:val="22"/>
          <w:lang w:val="en-US" w:eastAsia="en-US" w:bidi="ar-SA"/>
          <w:rFonts w:ascii="Times New Roman" w:hAnsi="Times New Roman" w:eastAsia="Times New Roman" w:cs="Times New Roman"/>
          <w:sz w:val="24"/>
        </w:rPr>
        <w:t>Eysenbach, G. (2005). The law of attrition. Journal of Medical Internet Research, 7(1), e11.</w:t>
      </w:r>
    </w:p>
    <w:p>
      <w:pPr>
        <w:pStyle w:val="Normal"/>
        <w:ind w:left="720" w:hanging="720"/>
        <w:jc w:val="both"/>
      </w:pPr>
      <w:r>
        <w:rPr>
          <w:szCs w:val="22"/>
          <w:lang w:val="en-US" w:eastAsia="en-US" w:bidi="ar-SA"/>
          <w:rFonts w:ascii="Times New Roman" w:hAnsi="Times New Roman" w:eastAsia="Times New Roman" w:cs="Times New Roman"/>
          <w:sz w:val="24"/>
        </w:rPr>
        <w:t>Festinger, L. (1954). A theory of social comparison processes. Human Relations, 7(2), 117–140.</w:t>
      </w:r>
    </w:p>
    <w:p>
      <w:pPr>
        <w:pStyle w:val="Normal"/>
        <w:ind w:left="720" w:hanging="720"/>
        <w:jc w:val="both"/>
      </w:pPr>
      <w:r>
        <w:rPr>
          <w:szCs w:val="22"/>
          <w:lang w:val="en-US" w:eastAsia="en-US" w:bidi="ar-SA"/>
          <w:rFonts w:ascii="Times New Roman" w:hAnsi="Times New Roman" w:eastAsia="Times New Roman" w:cs="Times New Roman"/>
          <w:sz w:val="24"/>
        </w:rPr>
        <w:t>Frey, B. S., &amp; Jegen, R. (2001). Motivation crowding theory. Journal of Economic Surveys, 15(5), 589–611.</w:t>
      </w:r>
    </w:p>
    <w:p>
      <w:pPr>
        <w:pStyle w:val="Normal"/>
        <w:ind w:left="720" w:hanging="720"/>
        <w:jc w:val="both"/>
      </w:pPr>
      <w:r>
        <w:rPr>
          <w:szCs w:val="22"/>
          <w:lang w:val="en-US" w:eastAsia="en-US" w:bidi="ar-SA"/>
          <w:rFonts w:ascii="Times New Roman" w:hAnsi="Times New Roman" w:eastAsia="Times New Roman" w:cs="Times New Roman"/>
          <w:sz w:val="24"/>
        </w:rP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pStyle w:val="Normal"/>
        <w:ind w:left="720" w:hanging="720"/>
        <w:jc w:val="both"/>
      </w:pPr>
      <w:r>
        <w:rPr>
          <w:szCs w:val="22"/>
          <w:lang w:val="en-US" w:eastAsia="en-US" w:bidi="ar-SA"/>
          <w:rFonts w:ascii="Times New Roman" w:hAnsi="Times New Roman" w:eastAsia="Times New Roman" w:cs="Times New Roman"/>
          <w:sz w:val="24"/>
        </w:rPr>
        <w:t>Harnad, S. (1990). The symbol grounding problem. Physica D: Nonlinear Phenomena, 42(1–3), 335–346.</w:t>
      </w:r>
    </w:p>
    <w:p>
      <w:pPr>
        <w:pStyle w:val="Normal"/>
        <w:ind w:left="720" w:hanging="720"/>
        <w:jc w:val="both"/>
      </w:pPr>
      <w:r>
        <w:rPr>
          <w:szCs w:val="22"/>
          <w:lang w:val="en-US" w:eastAsia="en-US" w:bidi="ar-SA"/>
          <w:rFonts w:ascii="Times New Roman" w:hAnsi="Times New Roman" w:eastAsia="Times New Roman" w:cs="Times New Roman"/>
          <w:sz w:val="24"/>
        </w:rPr>
        <w:t>Hawthorn, D. (2007). Interface design and engagement with older people. Behaviour &amp; Information Technology, 26(4), 333–341.</w:t>
      </w:r>
    </w:p>
    <w:p>
      <w:pPr>
        <w:pStyle w:val="Normal"/>
        <w:ind w:left="720" w:hanging="720"/>
        <w:jc w:val="both"/>
      </w:pPr>
      <w:r>
        <w:rPr>
          <w:szCs w:val="22"/>
          <w:lang w:val="en-US" w:eastAsia="en-US" w:bidi="ar-SA"/>
          <w:rFonts w:ascii="Times New Roman" w:hAnsi="Times New Roman" w:eastAsia="Times New Roman" w:cs="Times New Roman"/>
          <w:sz w:val="24"/>
        </w:rPr>
        <w:t>Holt, C. A., &amp; Laury, S. K. (2002). Risk aversion and incentive effects. American Economic Review, 92(5), 1644–1655.</w:t>
      </w:r>
    </w:p>
    <w:p>
      <w:pPr>
        <w:pStyle w:val="Normal"/>
        <w:ind w:left="720" w:hanging="720"/>
        <w:jc w:val="both"/>
      </w:pPr>
      <w:r>
        <w:rPr>
          <w:szCs w:val="22"/>
          <w:lang w:val="en-US" w:eastAsia="en-US" w:bidi="ar-SA"/>
          <w:rFonts w:ascii="Times New Roman" w:hAnsi="Times New Roman" w:eastAsia="Times New Roman" w:cs="Times New Roman"/>
          <w:sz w:val="24"/>
        </w:rPr>
        <w:t>InBody Co., Ltd. (2022). InBody FRA510S: Fall risk assessment system — user manual and product catalogue. InBody Co., Ltd.</w:t>
      </w:r>
    </w:p>
    <w:p>
      <w:pPr>
        <w:pStyle w:val="Normal"/>
        <w:ind w:left="720" w:hanging="720"/>
        <w:jc w:val="both"/>
      </w:pPr>
      <w:r>
        <w:rPr>
          <w:szCs w:val="22"/>
          <w:lang w:val="en-US" w:eastAsia="en-US" w:bidi="ar-SA"/>
          <w:rFonts w:ascii="Times New Roman" w:hAnsi="Times New Roman" w:eastAsia="Times New Roman" w:cs="Times New Roman"/>
          <w:sz w:val="24"/>
        </w:rPr>
        <w:t>Juul, J. (2013). The art of failure: An essay on the pain of playing video games. MIT Press.</w:t>
      </w:r>
    </w:p>
    <w:p>
      <w:pPr>
        <w:pStyle w:val="Normal"/>
        <w:ind w:left="720" w:hanging="720"/>
        <w:jc w:val="both"/>
      </w:pPr>
      <w:r>
        <w:rPr>
          <w:szCs w:val="22"/>
          <w:lang w:val="en-US" w:eastAsia="en-US" w:bidi="ar-SA"/>
          <w:rFonts w:ascii="Times New Roman" w:hAnsi="Times New Roman" w:eastAsia="Times New Roman" w:cs="Times New Roman"/>
          <w:sz w:val="24"/>
        </w:rPr>
        <w:t>Kahneman, D., Knetsch, J. L., &amp; Thaler, R. H. (1990). Experimental tests of the endowment effect and the Coase theorem. Journal of Political Economy, 98(6), 1325–1348.</w:t>
      </w:r>
    </w:p>
    <w:p>
      <w:pPr>
        <w:pStyle w:val="Normal"/>
        <w:ind w:left="720" w:hanging="720"/>
        <w:jc w:val="both"/>
      </w:pPr>
      <w:r>
        <w:rPr>
          <w:szCs w:val="22"/>
          <w:lang w:val="en-US" w:eastAsia="en-US" w:bidi="ar-SA"/>
          <w:rFonts w:ascii="Times New Roman" w:hAnsi="Times New Roman" w:eastAsia="Times New Roman" w:cs="Times New Roman"/>
          <w:sz w:val="24"/>
        </w:rPr>
        <w:t>Kahneman, D., &amp; Tversky, A. (1979). Prospect theory: An analysis of decision under risk. Econometrica, 47(2), 263–292.</w:t>
      </w:r>
    </w:p>
    <w:p>
      <w:pPr>
        <w:pStyle w:val="Normal"/>
        <w:ind w:left="720" w:hanging="720"/>
        <w:jc w:val="both"/>
      </w:pPr>
      <w:r>
        <w:rPr>
          <w:szCs w:val="22"/>
          <w:lang w:val="en-US" w:eastAsia="en-US" w:bidi="ar-SA"/>
          <w:rFonts w:ascii="Times New Roman" w:hAnsi="Times New Roman" w:eastAsia="Times New Roman" w:cs="Times New Roman"/>
          <w:sz w:val="24"/>
        </w:rPr>
        <w:t>Kapur, M. (2008). Productive failure. Cognition and Instruction, 26(3), 379–424.</w:t>
      </w:r>
    </w:p>
    <w:p>
      <w:pPr>
        <w:pStyle w:val="Normal"/>
        <w:ind w:left="720" w:hanging="720"/>
        <w:jc w:val="both"/>
      </w:pPr>
      <w:r>
        <w:rPr>
          <w:szCs w:val="22"/>
          <w:lang w:val="en-US" w:eastAsia="en-US" w:bidi="ar-SA"/>
          <w:rFonts w:ascii="Times New Roman" w:hAnsi="Times New Roman" w:eastAsia="Times New Roman" w:cs="Times New Roman"/>
          <w:sz w:val="24"/>
        </w:rPr>
        <w:t>Kim, M., Kim, S., &amp; Won, C. W. (2018). Test–retest reliability and sensitivity to change of a new fall risk assessment system: A pilot study. Annals of Geriatric Medicine and Research, 22(2), 80–87. https://doi.org/10.4235/agmr.2018.22.2.80</w:t>
      </w:r>
    </w:p>
    <w:p>
      <w:pPr>
        <w:pStyle w:val="Normal"/>
        <w:ind w:left="720" w:hanging="720"/>
        <w:jc w:val="both"/>
      </w:pPr>
      <w:r>
        <w:rPr>
          <w:szCs w:val="22"/>
          <w:lang w:val="en-US" w:eastAsia="en-US" w:bidi="ar-SA"/>
          <w:rFonts w:ascii="Times New Roman" w:hAnsi="Times New Roman" w:eastAsia="Times New Roman" w:cs="Times New Roman"/>
          <w:sz w:val="24"/>
        </w:rPr>
        <w:t>King, W. R., &amp; He, J. (2006). A meta-analysis of the technology acceptance model. Information &amp; Management, 43(6), 740–755.</w:t>
      </w:r>
    </w:p>
    <w:p>
      <w:pPr>
        <w:pStyle w:val="Normal"/>
        <w:ind w:left="720" w:hanging="720"/>
        <w:jc w:val="both"/>
      </w:pPr>
      <w:r>
        <w:rPr>
          <w:szCs w:val="22"/>
          <w:lang w:val="en-US" w:eastAsia="en-US" w:bidi="ar-SA"/>
          <w:rFonts w:ascii="Times New Roman" w:hAnsi="Times New Roman" w:eastAsia="Times New Roman" w:cs="Times New Roman"/>
          <w:sz w:val="24"/>
        </w:rPr>
        <w:t>Koivisto, J., &amp; Malik, A. (2021). Gamification for older adults: A systematic literature review. The Gerontologist, 61(7), e360–e372.</w:t>
      </w:r>
    </w:p>
    <w:p>
      <w:pPr>
        <w:pStyle w:val="Normal"/>
        <w:ind w:left="720" w:hanging="720"/>
        <w:jc w:val="both"/>
      </w:pPr>
      <w:r>
        <w:rPr>
          <w:szCs w:val="22"/>
          <w:lang w:val="en-US" w:eastAsia="en-US" w:bidi="ar-SA"/>
          <w:rFonts w:ascii="Times New Roman" w:hAnsi="Times New Roman" w:eastAsia="Times New Roman" w:cs="Times New Roman"/>
          <w:sz w:val="24"/>
        </w:rPr>
        <w:t>Kroenke, K., Spitzer, R. L., Williams, J. B. W., &amp; Löwe, B. (2009). An ultra-brief screening scale for anxiety and depression: The PHQ-4. Psychosomatics, 50(6), 613–621.</w:t>
      </w:r>
    </w:p>
    <w:p>
      <w:pPr>
        <w:pStyle w:val="Normal"/>
        <w:ind w:left="720" w:hanging="720"/>
        <w:jc w:val="both"/>
      </w:pPr>
      <w:r>
        <w:rPr>
          <w:szCs w:val="22"/>
          <w:lang w:val="en-US" w:eastAsia="en-US" w:bidi="ar-SA"/>
          <w:rFonts w:ascii="Times New Roman" w:hAnsi="Times New Roman" w:eastAsia="Times New Roman" w:cs="Times New Roman"/>
          <w:sz w:val="24"/>
        </w:rPr>
        <w:t>Lee, C., &amp; Coughlin, J. F. (2015). Older adults' adoption of technology: An integrated approach to identifying determinants and barriers. Journal of Product Innovation Management, 32(5), 747–759.</w:t>
      </w:r>
    </w:p>
    <w:p>
      <w:pPr>
        <w:pStyle w:val="Normal"/>
        <w:ind w:left="720" w:hanging="720"/>
        <w:jc w:val="both"/>
      </w:pPr>
      <w:r>
        <w:rPr>
          <w:szCs w:val="22"/>
          <w:lang w:val="en-US" w:eastAsia="en-US" w:bidi="ar-SA"/>
          <w:rFonts w:ascii="Times New Roman" w:hAnsi="Times New Roman" w:eastAsia="Times New Roman" w:cs="Times New Roman"/>
          <w:sz w:val="24"/>
        </w:rPr>
        <w:t>Levy, B. R., Slade, M. D., Kunkel, S. R., &amp; Kasl, S. V. (2002). Longevity increased by positive self-perceptions of aging. Journal of Personality and Social Psychology, 83(2), 261–270.</w:t>
      </w:r>
    </w:p>
    <w:p>
      <w:pPr>
        <w:pStyle w:val="Normal"/>
        <w:ind w:left="720" w:hanging="720"/>
        <w:jc w:val="both"/>
      </w:pPr>
      <w:r>
        <w:rPr>
          <w:szCs w:val="22"/>
          <w:lang w:val="en-US" w:eastAsia="en-US" w:bidi="ar-SA"/>
          <w:rFonts w:ascii="Times New Roman" w:hAnsi="Times New Roman" w:eastAsia="Times New Roman" w:cs="Times New Roman"/>
          <w:sz w:val="24"/>
        </w:rPr>
        <w:t>Lewin, K. (1946). Action research and minority problems. Journal of Social Issues, 2(4), 34–46.</w:t>
      </w:r>
    </w:p>
    <w:p>
      <w:pPr/>
      <w:r>
        <w:t>Liu, X., Cruz Rivera, S., Moher, D., Calvert, M. J., Denniston, A. K., &amp; SPIRIT-AI and CONSORT-AI Working Group. (2020). Reporting guidelines for clinical trials evaluating artificial intelligence interventions: The SPIRIT-AI and CONSORT-AI extensions. Nature Medicine, 26(9), 1364-1374.</w:t>
      </w:r>
    </w:p>
    <w:p>
      <w:pPr>
        <w:pStyle w:val="Normal"/>
        <w:ind w:left="720" w:hanging="720"/>
        <w:jc w:val="both"/>
      </w:pPr>
      <w:r>
        <w:rPr>
          <w:szCs w:val="22"/>
          <w:lang w:val="en-US" w:eastAsia="en-US" w:bidi="ar-SA"/>
          <w:rFonts w:ascii="Times New Roman" w:hAnsi="Times New Roman" w:eastAsia="Times New Roman" w:cs="Times New Roman"/>
          <w:sz w:val="24"/>
        </w:rPr>
        <w:t>Locke, E. A., &amp; Latham, G. P. (2002). Building a practically useful theory of goal setting and task motivation: A 35-year odyssey. American Psychologist, 57(9), 705–717.</w:t>
      </w:r>
    </w:p>
    <w:p>
      <w:pPr>
        <w:pStyle w:val="Normal"/>
        <w:ind w:left="720" w:hanging="720"/>
        <w:jc w:val="both"/>
      </w:pPr>
      <w:r>
        <w:rPr>
          <w:szCs w:val="22"/>
          <w:lang w:val="en-US" w:eastAsia="en-US" w:bidi="ar-SA"/>
          <w:rFonts w:ascii="Times New Roman" w:hAnsi="Times New Roman" w:eastAsia="Times New Roman" w:cs="Times New Roman"/>
          <w:sz w:val="24"/>
        </w:rPr>
        <w:t>McGlone, M. S., &amp; Aronson, J. (2006). Stereotype threat, identity salience, and spatial reasoning. Journal of Applied Developmental Psychology, 27(5), 486–493.</w:t>
      </w:r>
    </w:p>
    <w:p>
      <w:pPr>
        <w:pStyle w:val="Normal"/>
        <w:ind w:left="720" w:hanging="720"/>
        <w:jc w:val="both"/>
      </w:pPr>
      <w:r>
        <w:rPr>
          <w:szCs w:val="22"/>
          <w:lang w:val="en-US" w:eastAsia="en-US" w:bidi="ar-SA"/>
          <w:rFonts w:ascii="Times New Roman" w:hAnsi="Times New Roman" w:eastAsia="Times New Roman" w:cs="Times New Roman"/>
          <w:sz w:val="24"/>
        </w:rPr>
        <w:t>Michie, S., van Stralen, M. M., &amp; West, R. (2011). The behaviour change wheel: A new method for characterising and designing behaviour change interventions. Implementation Science, 6, 42.</w:t>
      </w:r>
    </w:p>
    <w:p>
      <w:pPr>
        <w:pStyle w:val="Normal"/>
        <w:ind w:left="720" w:hanging="720"/>
        <w:jc w:val="both"/>
      </w:pPr>
      <w:r>
        <w:rPr>
          <w:szCs w:val="22"/>
          <w:lang w:val="en-US" w:eastAsia="en-US" w:bidi="ar-SA"/>
          <w:rFonts w:ascii="Times New Roman" w:hAnsi="Times New Roman" w:eastAsia="Times New Roman" w:cs="Times New Roman"/>
          <w:sz w:val="24"/>
        </w:rPr>
        <w:t xml:space="preserve">Nasreddine, Z. S., Phillips, N. A., Bédirian, V., Charbonneau, S., Whitehead, V., Collin, I., Cummings, J. L., &amp; Chertkow, H. (2005). The Montreal Cognitive Assessment, </w:t>
        <w:t>MoCA: A brief screening tool for mild cognitive impairment. Journal of the American Geriatrics Society, 53(4), 695–699.</w:t>
      </w:r>
    </w:p>
    <w:p>
      <w:pPr>
        <w:pStyle w:val="Normal"/>
        <w:ind w:left="720" w:hanging="720"/>
        <w:jc w:val="both"/>
      </w:pPr>
      <w:r>
        <w:rPr>
          <w:szCs w:val="22"/>
          <w:lang w:val="en-US" w:eastAsia="en-US" w:bidi="ar-SA"/>
          <w:rFonts w:ascii="Times New Roman" w:hAnsi="Times New Roman" w:eastAsia="Times New Roman" w:cs="Times New Roman"/>
          <w:sz w:val="24"/>
        </w:rPr>
        <w:t>Park, W.-C., Kim, M., Kim, S., Yoo, J., Kim, B. S., Chon, J., Jeong, S. J., &amp; Won, C. W. (2019). Introduction of fall risk assessment (FRA) system and cross-sectional validation among community-dwelling older adults. Annals of Rehabilitation Medicine, 43(1), 87–95. https://doi.org/10.5535/arm.2019.43.1.87</w:t>
      </w:r>
    </w:p>
    <w:p>
      <w:pPr>
        <w:pStyle w:val="Normal"/>
        <w:ind w:left="720" w:hanging="720"/>
        <w:jc w:val="both"/>
      </w:pPr>
      <w:r>
        <w:rPr>
          <w:szCs w:val="22"/>
          <w:lang w:val="en-US" w:eastAsia="en-US" w:bidi="ar-SA"/>
          <w:rFonts w:ascii="Times New Roman" w:hAnsi="Times New Roman" w:eastAsia="Times New Roman" w:cs="Times New Roman"/>
          <w:sz w:val="24"/>
        </w:rPr>
        <w:t>Picard, R. W. (1997). Affective computing. MIT Press.</w:t>
      </w:r>
    </w:p>
    <w:p>
      <w:pPr>
        <w:pStyle w:val="Normal"/>
        <w:ind w:left="720" w:hanging="720"/>
        <w:jc w:val="both"/>
      </w:pPr>
      <w:r>
        <w:rPr>
          <w:szCs w:val="22"/>
          <w:lang w:val="en-US" w:eastAsia="en-US" w:bidi="ar-SA"/>
          <w:rFonts w:ascii="Times New Roman" w:hAnsi="Times New Roman" w:eastAsia="Times New Roman" w:cs="Times New Roman"/>
          <w:sz w:val="24"/>
        </w:rPr>
        <w:t>Reason, P., &amp; Bradbury, H. (Eds.). (2008). The SAGE handbook of action research: Participative inquiry and practice (2nd ed.). SAGE.</w:t>
      </w:r>
    </w:p>
    <w:p>
      <w:pPr>
        <w:pStyle w:val="Normal"/>
        <w:ind w:left="720" w:hanging="720"/>
        <w:jc w:val="both"/>
      </w:pPr>
      <w:r>
        <w:rPr>
          <w:szCs w:val="22"/>
          <w:lang w:val="en-US" w:eastAsia="en-US" w:bidi="ar-SA"/>
          <w:rFonts w:ascii="Times New Roman" w:hAnsi="Times New Roman" w:eastAsia="Times New Roman" w:cs="Times New Roman"/>
          <w:sz w:val="24"/>
        </w:rPr>
        <w:t>Ryan, R. M., &amp; Deci, E. L. (2000). Self-determination theory and the facilitation of intrinsic motivation, social development, and well-being. American Psychologist, 55(1), 68–78.</w:t>
      </w:r>
    </w:p>
    <w:p>
      <w:pPr>
        <w:pStyle w:val="Normal"/>
        <w:ind w:left="720" w:hanging="720"/>
        <w:jc w:val="both"/>
      </w:pPr>
      <w:r>
        <w:rPr>
          <w:szCs w:val="22"/>
          <w:lang w:val="en-US" w:eastAsia="en-US" w:bidi="ar-SA"/>
          <w:rFonts w:ascii="Times New Roman" w:hAnsi="Times New Roman" w:eastAsia="Times New Roman" w:cs="Times New Roman"/>
          <w:sz w:val="24"/>
        </w:rPr>
        <w:t>Satchell, C., &amp; Dourish, P. (2009). Beyond the user: Use and non-use in HCI. In Proceedings of OzCHI 2009 (pp. 9–16). ACM.</w:t>
      </w:r>
    </w:p>
    <w:p>
      <w:pPr>
        <w:pStyle w:val="Normal"/>
        <w:ind w:left="720" w:hanging="720"/>
        <w:jc w:val="both"/>
      </w:pPr>
      <w:r>
        <w:rPr>
          <w:szCs w:val="22"/>
          <w:lang w:val="en-US" w:eastAsia="en-US" w:bidi="ar-SA"/>
          <w:rFonts w:ascii="Times New Roman" w:hAnsi="Times New Roman" w:eastAsia="Times New Roman" w:cs="Times New Roman"/>
          <w:sz w:val="24"/>
        </w:rPr>
        <w:t>Schroeder, T., Dodds, L., Georgiou, A., Gewald, H., &amp; Siette, J. (2023). Older adults and new technology: Mapping review of the factors associated with older adults' intention to adopt digital technologies. JMIR Aging, 6, e44564.</w:t>
      </w:r>
    </w:p>
    <w:p>
      <w:pPr>
        <w:pStyle w:val="Normal"/>
        <w:ind w:left="720" w:hanging="720"/>
        <w:jc w:val="both"/>
      </w:pPr>
      <w:r>
        <w:rPr>
          <w:szCs w:val="22"/>
          <w:lang w:val="en-US" w:eastAsia="en-US" w:bidi="ar-SA"/>
          <w:rFonts w:ascii="Times New Roman" w:hAnsi="Times New Roman" w:eastAsia="Times New Roman" w:cs="Times New Roman"/>
          <w:sz w:val="24"/>
        </w:rPr>
        <w:t>Shannon, C. E. (1948). A mathematical theory of communication. Bell System Technical Journal, 27(3), 379–423; 27(4), 623–656.</w:t>
      </w:r>
    </w:p>
    <w:p>
      <w:pPr>
        <w:pStyle w:val="Normal"/>
        <w:ind w:left="720" w:hanging="720"/>
        <w:jc w:val="both"/>
      </w:pPr>
      <w:r>
        <w:rPr>
          <w:szCs w:val="22"/>
          <w:lang w:val="en-US" w:eastAsia="en-US" w:bidi="ar-SA"/>
          <w:rFonts w:ascii="Times New Roman" w:hAnsi="Times New Roman" w:eastAsia="Times New Roman" w:cs="Times New Roman"/>
          <w:sz w:val="24"/>
        </w:rPr>
        <w:t>Standing Committee of the National People's Congress. (2021). Personal information protection law of the People's Republic of China.</w:t>
      </w:r>
    </w:p>
    <w:p>
      <w:pPr>
        <w:pStyle w:val="Normal"/>
        <w:ind w:left="720" w:hanging="720"/>
        <w:jc w:val="both"/>
      </w:pPr>
      <w:r>
        <w:rPr>
          <w:szCs w:val="22"/>
          <w:lang w:val="en-US" w:eastAsia="en-US" w:bidi="ar-SA"/>
          <w:rFonts w:ascii="Times New Roman" w:hAnsi="Times New Roman" w:eastAsia="Times New Roman" w:cs="Times New Roman"/>
          <w:sz w:val="24"/>
        </w:rPr>
        <w:t>Steele, C. M., &amp; Aronson, J. (1995). Stereotype threat and the intellectual test performance of African Americans. Journal of Personality and Social Psychology, 69(5), 797–811.</w:t>
      </w:r>
    </w:p>
    <w:p>
      <w:pPr>
        <w:pStyle w:val="Normal"/>
        <w:ind w:left="720" w:hanging="720"/>
        <w:jc w:val="both"/>
      </w:pPr>
      <w:r>
        <w:rPr>
          <w:szCs w:val="22"/>
          <w:lang w:val="en-US" w:eastAsia="en-US" w:bidi="ar-SA"/>
          <w:rFonts w:ascii="Times New Roman" w:hAnsi="Times New Roman" w:eastAsia="Times New Roman" w:cs="Times New Roman"/>
          <w:sz w:val="24"/>
        </w:rPr>
        <w:t>Stringer, E. T. (2014). Action research (4th ed.). SAGE.</w:t>
      </w:r>
    </w:p>
    <w:p>
      <w:pPr>
        <w:pStyle w:val="Normal"/>
        <w:ind w:left="720" w:hanging="720"/>
        <w:jc w:val="both"/>
      </w:pPr>
      <w:r>
        <w:rPr>
          <w:szCs w:val="22"/>
          <w:lang w:val="en-US" w:eastAsia="en-US" w:bidi="ar-SA"/>
          <w:rFonts w:ascii="Times New Roman" w:hAnsi="Times New Roman" w:eastAsia="Times New Roman" w:cs="Times New Roman"/>
          <w:sz w:val="24"/>
        </w:rPr>
        <w:t>Thaler, R. H. (1980). Toward a positive theory of consumer choice. Journal of Economic Behavior &amp; Organization, 1(1), 39–60.</w:t>
      </w:r>
    </w:p>
    <w:p>
      <w:pPr>
        <w:pStyle w:val="Normal"/>
        <w:ind w:left="720" w:hanging="720"/>
        <w:jc w:val="both"/>
      </w:pPr>
      <w:r>
        <w:rPr>
          <w:szCs w:val="22"/>
          <w:lang w:val="en-US" w:eastAsia="en-US" w:bidi="ar-SA"/>
          <w:rFonts w:ascii="Times New Roman" w:hAnsi="Times New Roman" w:eastAsia="Times New Roman" w:cs="Times New Roman"/>
          <w:sz w:val="24"/>
        </w:rPr>
        <w:t>Thaler, R. H. (1985). Mental accounting and consumer choice. Marketing Science, 4(3), 199–214.</w:t>
      </w:r>
    </w:p>
    <w:p>
      <w:pPr>
        <w:pStyle w:val="Normal"/>
        <w:ind w:left="720" w:hanging="720"/>
        <w:jc w:val="both"/>
      </w:pPr>
      <w:r>
        <w:rPr>
          <w:szCs w:val="22"/>
          <w:lang w:val="en-US" w:eastAsia="en-US" w:bidi="ar-SA"/>
          <w:rFonts w:ascii="Times New Roman" w:hAnsi="Times New Roman" w:eastAsia="Times New Roman" w:cs="Times New Roman"/>
          <w:sz w:val="24"/>
        </w:rPr>
        <w:t>Tsai, T. H., Lin, W. Y., Chang, Y. S., Chang, P. C., &amp; Lee, M. Y. (2020). Technology anxiety and resistance to change: Behavioural study of a wearable cardiac warming system using an extended TAM for older adults. PLOS ONE, 15(1), e0227270. https://doi.org/10.1371/journal.pone.0227270</w:t>
      </w:r>
    </w:p>
    <w:p>
      <w:pPr>
        <w:pStyle w:val="Normal"/>
        <w:ind w:left="720" w:hanging="720"/>
        <w:jc w:val="both"/>
      </w:pPr>
      <w:r>
        <w:rPr>
          <w:szCs w:val="22"/>
          <w:lang w:val="en-US" w:eastAsia="en-US" w:bidi="ar-SA"/>
          <w:rFonts w:ascii="Times New Roman" w:hAnsi="Times New Roman" w:eastAsia="Times New Roman" w:cs="Times New Roman"/>
          <w:sz w:val="24"/>
        </w:rPr>
        <w:t>Tversky, A., &amp; Kahneman, D. (1991). Loss aversion in riskless choice: A reference-dependent model. Quarterly Journal of Economics, 106(4), 1039–1061.</w:t>
      </w:r>
    </w:p>
    <w:p>
      <w:pPr>
        <w:pStyle w:val="Normal"/>
        <w:ind w:left="720" w:hanging="720"/>
        <w:jc w:val="both"/>
      </w:pPr>
      <w:r>
        <w:rPr>
          <w:szCs w:val="22"/>
          <w:lang w:val="en-US" w:eastAsia="en-US" w:bidi="ar-SA"/>
          <w:rFonts w:ascii="Times New Roman" w:hAnsi="Times New Roman" w:eastAsia="Times New Roman" w:cs="Times New Roman"/>
          <w:sz w:val="24"/>
        </w:rPr>
        <w:t>VanLehn, K. (2011). The relative effectiveness of human tutoring, intelligent tutoring systems, and other tutoring systems. Educational Psychologist, 46(4), 197–221.</w:t>
      </w:r>
    </w:p>
    <w:p>
      <w:pPr>
        <w:pStyle w:val="Normal"/>
        <w:ind w:left="720" w:hanging="720"/>
        <w:jc w:val="both"/>
      </w:pPr>
      <w:r>
        <w:rPr>
          <w:szCs w:val="22"/>
          <w:lang w:val="en-US" w:eastAsia="en-US" w:bidi="ar-SA"/>
          <w:rFonts w:ascii="Times New Roman" w:hAnsi="Times New Roman" w:eastAsia="Times New Roman" w:cs="Times New Roman"/>
          <w:sz w:val="24"/>
        </w:rPr>
        <w:t>Venkatesh, V., &amp; Bala, H. (2008). Technology acceptance model 3 and a research agenda on interventions. Decision Sciences, 39(2), 273–315.</w:t>
      </w:r>
    </w:p>
    <w:p>
      <w:pPr>
        <w:pStyle w:val="Normal"/>
        <w:ind w:left="720" w:hanging="720"/>
        <w:jc w:val="both"/>
      </w:pPr>
      <w:r>
        <w:rPr>
          <w:szCs w:val="22"/>
          <w:lang w:val="en-US" w:eastAsia="en-US" w:bidi="ar-SA"/>
          <w:rFonts w:ascii="Times New Roman" w:hAnsi="Times New Roman" w:eastAsia="Times New Roman" w:cs="Times New Roman"/>
          <w:sz w:val="24"/>
        </w:rPr>
        <w:t>Venkatesh, V., &amp; Davis, F. D. (2000). A theoretical extension of the technology acceptance model: Four longitudinal field studies. Management Science, 46(2), 186–204.</w:t>
      </w:r>
    </w:p>
    <w:p>
      <w:pPr>
        <w:pStyle w:val="Normal"/>
        <w:ind w:left="720" w:hanging="720"/>
        <w:jc w:val="both"/>
      </w:pPr>
      <w:r>
        <w:rPr>
          <w:szCs w:val="22"/>
          <w:lang w:val="en-US" w:eastAsia="en-US" w:bidi="ar-SA"/>
          <w:rFonts w:ascii="Times New Roman" w:hAnsi="Times New Roman" w:eastAsia="Times New Roman" w:cs="Times New Roman"/>
          <w:sz w:val="24"/>
        </w:rPr>
        <w:t>Venkatesh, V., Morris, M. G., Davis, G. B., &amp; Davis, F. D. (2003). User acceptance of information technology: Toward a unified view. MIS Quarterly, 27(3), 425–478.</w:t>
      </w:r>
    </w:p>
    <w:p>
      <w:pPr>
        <w:pStyle w:val="Normal"/>
        <w:ind w:left="720" w:hanging="720"/>
        <w:jc w:val="both"/>
      </w:pPr>
      <w:r>
        <w:rPr>
          <w:szCs w:val="22"/>
          <w:lang w:val="en-US" w:eastAsia="en-US" w:bidi="ar-SA"/>
          <w:rFonts w:ascii="Times New Roman" w:hAnsi="Times New Roman" w:eastAsia="Times New Roman" w:cs="Times New Roman"/>
          <w:sz w:val="24"/>
        </w:rPr>
        <w:t>Vickers, A. J., &amp; Elkin, E. B. (2006). Decision curve analysis: A novel method for evaluating prediction models. Medical Decision Making, 26(6), 565–574.</w:t>
      </w:r>
    </w:p>
    <w:p>
      <w:pPr>
        <w:pStyle w:val="Normal"/>
        <w:ind w:left="720" w:hanging="720"/>
        <w:jc w:val="both"/>
      </w:pPr>
      <w:r>
        <w:rPr>
          <w:szCs w:val="22"/>
          <w:lang w:val="en-US" w:eastAsia="en-US" w:bidi="ar-SA"/>
          <w:rFonts w:ascii="Times New Roman" w:hAnsi="Times New Roman" w:eastAsia="Times New Roman" w:cs="Times New Roman"/>
          <w:sz w:val="24"/>
        </w:rPr>
        <w:t>Vygotsky, L. S. (1978). Mind in society: The development of higher psychological processes. Harvard University Press.</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(2007). WHO global report on falls prevention in older age. World Health Organization.</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(2023). Falls (Fact sheet). World Health Organization. https://www.who.int/news-room/fact-sheets/detail/falls</w:t>
      </w:r>
    </w:p>
    <w:p>
      <w:pPr>
        <w:pStyle w:val="Normal"/>
      </w:pPr>
      <w:r>
        <w:rPr>
          <w:szCs w:val="22"/>
          <w:lang w:val="en-US" w:eastAsia="en-US" w:bidi="ar-SA"/>
          <w:rFonts w:ascii="Times New Roman" w:hAnsi="Times New Roman" w:eastAsia="Times New Roman" w:cs="Times New Roman"/>
          <w:sz w:val="24"/>
        </w:rPr>
        <w:t>World Health Organization. (2024). Ageing and health (Fact sheet). World Health Organization. https://www.who.int/news-room/fact-sheets/detail/ageing-and-health</w:t>
      </w:r>
    </w:p>
    <w:p>
      <w:pPr>
        <w:pStyle w:val="Normal"/>
        <w:ind w:left="720" w:hanging="720"/>
        <w:jc w:val="both"/>
      </w:pPr>
      <w:r>
        <w:rPr>
          <w:szCs w:val="22"/>
          <w:lang w:val="en-US" w:eastAsia="en-US" w:bidi="ar-SA"/>
          <w:rFonts w:ascii="Times New Roman" w:hAnsi="Times New Roman" w:eastAsia="Times New Roman" w:cs="Times New Roman"/>
          <w:sz w:val="24"/>
        </w:rPr>
        <w:t>Wittgenstein, L. (1922). Tractatus logico-philosophicus (C. K. Ogden, Trans.). Kegan Paul, Trench, Trubner. (Original work published 1921)</w:t>
      </w:r>
    </w:p>
    <w:p>
      <w:pPr>
        <w:pStyle w:val="Normal"/>
        <w:ind w:left="720" w:hanging="720"/>
        <w:jc w:val="both"/>
      </w:pPr>
      <w:r>
        <w:rPr>
          <w:szCs w:val="22"/>
          <w:lang w:val="en-US" w:eastAsia="en-US" w:bidi="ar-SA"/>
          <w:rFonts w:ascii="Times New Roman" w:hAnsi="Times New Roman" w:eastAsia="Times New Roman" w:cs="Times New Roman"/>
          <w:sz w:val="24"/>
        </w:rPr>
        <w:t>Yardley, L., Beyer, N., Hauer, K., Kempen, G., Piot-Ziegler, C., &amp; Todd, C. (2005). Development and initial validation of the Falls Efficacy Scale-International (FES-I). Age and Ageing, 34(6), 614–619.</w:t>
      </w:r>
    </w:p>
    <w:p>
      <w:pPr>
        <w:pStyle w:val="Heading1"/>
        <w:pageBreakBefore/>
      </w:pPr>
      <w:bookmarkStart w:id="167" w:name="_Toc232024664"/>
      <w:r>
        <w:rPr>
          <w:lang w:val="en-US" w:eastAsia="en-US" w:bidi="ar-SA"/>
          <w:rFonts w:asciiTheme="majorHAnsi" w:eastAsiaTheme="majorEastAsia" w:hAnsiTheme="majorHAnsi" w:cstheme="majorBidi" w:ascii="Times New Roman" w:hAnsi="Times New Roman" w:eastAsia="Times New Roman" w:cs="Times New Roman"/>
          <w:b/>
          <w:color w:val="000000"/>
          <w:sz w:val="24"/>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intensive post-deployment interviews were conducted with all nine persistent participants, one to two days after the close of the eight-week cycle and following the small rewards presentation at which their written consent was recorded. The interviews used a paper interview questionnaire and were conducted in Mandarin or Cantonese at the participant's preference; the author's contemporaneous notes are the primary record.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confirmatory programme (§8.8), not a record of interviews conducted.</w:t>
      </w:r>
    </w:p>
    <w:p>
      <w:pPr>
        <w:pStyle w:val="Heading3"/>
      </w:pPr>
      <w:bookmarkStart w:id="172" w:name="_Toc2320246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 In the Stage-3 remote deployment the instrument was distributed with the e-mailed game build, and participants returned their responses by e-mail together with the build's logged results file.</w:t>
      </w:r>
    </w:p>
    <w:p>
      <w:pPr>
        <w:pStyle w:val="Heading3"/>
      </w:pPr>
      <w:bookmarkStart w:id="174" w:name="_Toc2320246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The full adaptive-learning reference stack adds three further layers (L5 User-Facing Trajectory, L6 Staff Coaching Protocol, L7 Adaptive-Learning Telemetry) without altering the underlying signal path.</w:t>
      </w:r>
    </w:p>
    <w:p>
      <w:pPr>
        <w:pStyle w:val="Heading3"/>
      </w:pPr>
      <w:bookmarkStart w:id="177" w:name="_Toc2320246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E.1 · Layers L0–L4 (Stage-2 Operational)</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pPr>
              <w:pStyle w:val="Normal"/>
            </w:pPr>
            <w:r>
              <w:rPr>
                <w:b/>
                <w:sz w:val="24"/>
                <w:szCs w:val="22"/>
                <w:lang w:val="en-US" w:eastAsia="en-US" w:bidi="ar-SA"/>
                <w:rFonts w:ascii="Times New Roman" w:hAnsi="Times New Roman" w:eastAsia="Times New Roman" w:cs="Times New Roman"/>
              </w:rPr>
              <w:t>Construct</w:t>
            </w:r>
          </w:p>
        </w:tc>
        <w:tc>
          <w:tcPr>
            <w:tcW w:w="5952" w:type="dxa"/>
          </w:tcPr>
          <w:p>
            <w:pPr>
              <w:pStyle w:val="Normal"/>
            </w:pPr>
            <w:r>
              <w:rPr>
                <w:b/>
                <w:sz w:val="24"/>
                <w:szCs w:val="22"/>
                <w:lang w:val="en-US" w:eastAsia="en-US" w:bidi="ar-SA"/>
                <w:rFonts w:ascii="Times New Roman" w:hAnsi="Times New Roman" w:eastAsia="Times New Roman" w:cs="Times New Roman"/>
              </w:rPr>
              <w:t>Definition</w:t>
            </w:r>
          </w:p>
        </w:tc>
      </w:tr>
      <w:tr w:rsidR="0062437E" w14:paraId="662CB72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FIDS</w:t>
            </w:r>
          </w:p>
        </w:tc>
        <w:tc>
          <w:tcPr>
            <w:tcW w:w="5952"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FIAS</w:t>
            </w:r>
          </w:p>
        </w:tc>
        <w:tc>
          <w:tcPr>
            <w:tcW w:w="5952" w:type="dxa"/>
          </w:tcPr>
          <w:p>
            <w:pPr>
              <w:pStyle w:val="Normal"/>
            </w:pPr>
            <w:r>
              <w:rPr>
                <w:szCs w:val="22"/>
                <w:lang w:val="en-US" w:eastAsia="en-US" w:bidi="ar-SA"/>
                <w:rFonts w:ascii="Times New Roman" w:hAnsi="Times New Roman" w:eastAsia="Times New Roman" w:cs="Times New Roman"/>
                <w:sz w:val="24"/>
              </w:rP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Objective-Score-Improvement/Non-Return Paradox</w:t>
            </w:r>
          </w:p>
        </w:tc>
        <w:tc>
          <w:tcPr>
            <w:tcW w:w="5952"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Decoupling</w:t>
            </w:r>
          </w:p>
        </w:tc>
        <w:tc>
          <w:tcPr>
            <w:tcW w:w="5952"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5952"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Frame-Suppression</w:t>
            </w:r>
          </w:p>
        </w:tc>
        <w:tc>
          <w:tcPr>
            <w:tcW w:w="5952"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Commitment Gap</w:t>
            </w:r>
          </w:p>
        </w:tc>
        <w:tc>
          <w:tcPr>
            <w:tcW w:w="5952"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Adaptive-Learning Framework</w:t>
            </w:r>
          </w:p>
        </w:tc>
        <w:tc>
          <w:tcPr>
            <w:tcW w:w="5952"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Entropy Constraint</w:t>
            </w:r>
          </w:p>
        </w:tc>
        <w:tc>
          <w:tcPr>
            <w:tcW w:w="5952"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M0 / M1 / M2</w:t>
            </w:r>
          </w:p>
        </w:tc>
        <w:tc>
          <w:tcPr>
            <w:tcW w:w="5952"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Decision-Curve Analysis</w:t>
            </w:r>
          </w:p>
        </w:tc>
        <w:tc>
          <w:tcPr>
            <w:tcW w:w="5952" w:type="dxa"/>
          </w:tcPr>
          <w:p>
            <w:pPr>
              <w:pStyle w:val="Normal"/>
            </w:pPr>
            <w:r>
              <w:rPr>
                <w:sz w:val="24"/>
                <w:szCs w:val="22"/>
                <w:lang w:val="en-US" w:eastAsia="en-US" w:bidi="ar-SA"/>
                <w:rFonts w:ascii="Times New Roman" w:hAnsi="Times New Roman" w:eastAsia="Times New Roman" w:cs="Times New Roman"/>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Adaptive Learning</w:t>
            </w:r>
          </w:p>
        </w:tc>
        <w:tc>
          <w:tcPr>
            <w:tcW w:w="5952"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G · Raw Data, Photographs and Supplementary Materials</w:t>
      </w:r>
      <w:bookmarkEnd w:id="181"/>
    </w:p>
    <w:p>
      <w:pPr>
        <w:pStyle w:val="Normal"/>
        <w:jc w:val="both"/>
      </w:pPr>
      <w:r>
        <w:rPr>
          <w:szCs w:val="22"/>
          <w:lang w:val="en-US" w:eastAsia="en-US" w:bidi="ar-SA"/>
          <w:rFonts w:ascii="Times New Roman" w:hAnsi="Times New Roman" w:eastAsia="Times New Roman" w:cs="Times New Roman"/>
          <w:sz w:val="24"/>
        </w:rP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pPr>
      <w:r>
        <w:rPr>
          <w:i w:val="0"/>
          <w:szCs w:val="22"/>
          <w:lang w:val="en-US" w:eastAsia="en-US" w:bidi="ar-SA"/>
          <w:rFonts w:ascii="Times New Roman" w:hAnsi="Times New Roman" w:eastAsia="Times New Roman" w:cs="Times New Roman"/>
          <w:sz w:val="24"/>
        </w:rP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r>
        <w:t>G.4  Photographs of the Guangzhou Stage-2 deployment (consented).</w:t>
      </w:r>
    </w:p>
    <w:p>
      <w:r>
        <w:t>G.5  The Stage-3 distribution and return e-mail record (de-identified index of dates, channels and returned files).</w:t>
      </w:r>
    </w:p>
    <w:p>
      <w:r>
        <w:t>G.6  Screenshots of the skiing game at each difficulty level (1–5).</w:t>
      </w:r>
    </w:p>
    <w:p>
      <w:r>
        <w:rPr>
          <w:i w:val="0"/>
        </w:rPr>
        <w:t>G.7  AI prompt-template archive used in Layer 2 (system and user prompts, versions and settings).</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v21</dc:title>
  <dc:subject>EngD thesis revised following academic methodological review</dc:subject>
  <dc:creator>python-docx</dc:creator>
  <cp:keywords/>
  <dc:description>V28: qualitative record corrected and detailed (9 persistent-player interviews + 3 manager interviews; F4 protocol designed-not-administered).</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