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(returned dropouts counted as retained),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jc w:val="both"/>
      </w:pPr>
      <w:r>
        <w:t>Figure 2.1 renders the synthesis of this chapter graphically as the author's five-part literature-to-design framework. Parts 1 and 2 state the initial design expectation drawn from technology-acceptance and gamification theory - the origin of H0, formalised retrospectively (§2.3.5). Parts 3 and 4 assemble the competing and complementary explanations that field difficulty brought under examination: self-efficacy on one side, and the behavioural-appraisal candidates - loss aversion, identity-related endowment, mental accounting, stereotype threat - on the other, considered alongside continuance and information avoidance. Part 5 states the design response they inform. The lower band connects the five parts to the three empirical stages and the proposed response, and carries the two caveats this architecture keeps in view throughout: Stage 3 changed cohort, input and context together, so framing effects were not isolated; and credible improvement claims require comparable observations, disclosed task changes and separate reporting of incompatible phases. The figure states structure and argumentative connection only - arrows are not causal claims, and stage outcomes are reported in Chapters 4 to 6.</w:t>
      </w:r>
    </w:p>
    <w:p>
      <w:pPr>
        <w:keepNext/>
        <w:jc w:val="center"/>
      </w:pPr>
      <w:r>
        <w:drawing>
          <wp:inline>
            <wp:extent cx="5688000" cy="4153737"/>
            <wp:docPr id="40" name="Picture 40"/>
            <wp:cNvGraphicFramePr>
              <a:graphicFrameLocks noChangeAspect="1"/>
            </wp:cNvGraphicFramePr>
            <a:graphic>
              <a:graphicData uri="http://schemas.openxmlformats.org/drawingml/2006/picture">
                <pic:pic>
                  <pic:nvPicPr>
                    <pic:cNvPr id="0" name="fig_2_1_literature_synthesis.png"/>
                    <pic:cNvPicPr/>
                  </pic:nvPicPr>
                  <pic:blipFill>
                    <a:blip r:embed="rId49"/>
                    <a:stretch>
                      <a:fillRect/>
                    </a:stretch>
                  </pic:blipFill>
                  <pic:spPr>
                    <a:xfrm>
                      <a:off x="0" y="0"/>
                      <a:ext cx="5688000" cy="4153737"/>
                    </a:xfrm>
                    <a:prstGeom prst="rect"/>
                  </pic:spPr>
                </pic:pic>
              </a:graphicData>
            </a:graphic>
          </wp:inline>
        </w:drawing>
      </w:r>
    </w:p>
    <w:p>
      <w:pPr>
        <w:pStyle w:val="FigureCaption"/>
      </w:pPr>
      <w:r>
        <w:t>Figure 2.1. The five-part literature-to-design synthesis: conceptual rationale for gamification, continuous improvement and innovation enhancement. Five conceptual parts organise the rationale for the three empirical stages and the proposed design response; arrows indicate argumentative connections, not causal proof. Source: author's synthesis of the cited literature (Chapters 2-8).</w:t>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t>Second half of 2025 (eight weeks)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August 2026</w:t>
            </w:r>
          </w:p>
        </w:tc>
        <w:tc>
          <w:tcPr>
            <w:tcW w:type="dxa" w:w="1994"/>
          </w:tcPr>
          <w:p>
            <w:r>
              <w:t>§3.4</w:t>
            </w:r>
          </w:p>
        </w:tc>
      </w:tr>
      <w:tr>
        <w:trPr>
          <w:cantSplit/>
        </w:trPr>
        <w:tc>
          <w:tcPr>
            <w:tcW w:type="dxa" w:w="3927"/>
          </w:tcPr>
          <w:p>
            <w:r>
              <w:t>Stage 3B — pre-registered 2x2 field experiment</w:t>
            </w:r>
          </w:p>
        </w:tc>
        <w:tc>
          <w:tcPr>
            <w:tcW w:type="dxa" w:w="2584"/>
          </w:tcPr>
          <w:p>
            <w:r>
              <w:rPr/>
              <w:t>August–October 2026 (planned window)</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expressed satisfaction and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highlight w:val="yellow"/>
        </w:rPr>
        <w:t>[AUTHOR CHECK - reconcile with the existing description of after-game paper questionnaires (Appendix C, §5.4): who, if anyone, completed paper instruments, and for which participants?]</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t>Per-generation development dates and tooling are recorded in the build-lineage matrix (Appendix G, item G.0A) as it is completed; where a generation's tooling is not yet documented there, no tooling claim is made for it.</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highlight w:val="yellow"/>
        </w:rPr>
      </w:r>
      <w:r/>
      <w:r>
        <w:rPr/>
      </w:r>
      <w:r/>
    </w:p>
    <w:p>
      <w:pPr>
        <w:jc w:val="both"/>
      </w:pPr>
      <w:r>
        <w:t>A corresponding caution attaches to the satisfaction and symptom variables. As §3.4 records, they are therapist-mediated and researcher-compiled rather than self-administered: therapists reported their observations in ordinary practice, and the researcher attributed values to individuals when compiling near-daily field notes.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cause-and-consequence chain from which the FIAS construct was subsequently built.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and that visible thinning of the group contributed to further abandonment. Provenance is stated plainly: this is the researcher's field-note record, retrieved from the archive in September 2026 during examination-driven verification; it is a recorded qualitative sequence, not an instrumented measure, and no per-participant counts attach to it. Three readings follow, each taken up elsewhere. Failure events outweighing recorded gains in the participants' own weighing is the loss-aversion signature the FIAS account formalises (§5.7). Under the coupled deployment each in-game failure carried the assessment frame's verdict meaning (§5.2A) - the attachment Stage 3 examines by removing it. And the visible-dropout effect is a within-deployment social channel, taken up with the group-narrative account in §8.6B and the panel's group-dynamics interpretation in §6.8A.</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offered as jointly covering the appraisal chain as this programme has mapped it - a design claim about coverage of the observed chain, not a claim of empirical exhaustiveness or unique necessity - with the principles individually non-redundant,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discriminating point: the field notes record players who acknowledged the system's benefits and were recording index gains, yet gave up after recurring in-game failures across their second and third cycles - a profile that boredom, limited-relevance and competing-priority accounts do not naturally produce.</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visible thinning contributed to further abandonment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discoveries.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t>Second half of 2025 (eight weeks)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t>August–October 2026 (planned window)</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V40 CLOSED - 10 September 2026. The examination-driven revision cycle is complete. The remaining yellow marks in this document are confined to: (a) the Stage-2 questionnaire instruments - the Appendix C reconciliation (s3.4) and the D1-D2 response scale and bilingual wording (Appendix D); (b) Stage-2 game telemetry and AI-call logs (G.2/G.7 - archive or one disclosed not-retained sentence); (c) consent-gated panel items that close on receipt of the signed member-check and elections (s6.12, H.6, H.7); (d) Stage 3B cells that close when the August-October 2026 window ends (s8.8, Table 9.1); and (e) the Appendix G manifest and build-lineage stubs (G.0, G.0A), which complete as the archive records land. External gates tracked in the working file PENDING_ITEMS.md, outside this document: the HSEARS approval-memo PDF (the text stands on 'August 2026' pending the exact date), the SS-293 camera-ready consent check, the supervisor's report and the Stage-3B protocol sign-off. Final production remains as one pass: regenerate the ToC, List of Figures and List of Tables as Word fields (Figure 2.1, Figure 8.1 and the tables added since V37 enter the lists there), regularise figure numbering, remove this page together with every remaining mark, and proofread.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