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rule actually applied in aggregation is not retained.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administered wording, language, response scale and positivity threshold have not been reconciled.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which codes were played by the investigator and which by volunteers is recorded separately by the investigator,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Any use by volunteers is documented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pending reconciliation with the administered instrument.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Stage 3A zero-failure mode,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three single-session returns by 29 September 2026,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Uncertain applied classification rules and event timing limit the behavioural meaning of the counts. Questionnaire wording and coding also require reconciliation.</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record of who played under each code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