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Payroll Review: Unbudgeted Costs, Compliance Alerts, and Workforce Trends</w:t>
      </w:r>
    </w:p>
    <w:p>
      <w:r>
        <w:t>Quarterly payroll for the period ending September 30th reveals gross compensation reached 12,876,341.22. Total employer tax liabilities for the quarter were 1,029,487.89. Benefit contributions totaled 2,933,765.11, reflecting an unexpected 6.4% increase over the previous quarter, largely driven by unbudgeted healthcare provider adjustments.</w:t>
        <w:br/>
        <w:br/>
        <w:t>The Engineering division's gross pay increased by 1,351,902.17 from Q2, primarily due to 14 new senior-level hires and 7 retention bonuses issued totaling 425,000.00. This represents an 18.7% deviation above the Q3 departmental projection. Operations overtime hours escalated to 19,345 for the period, incurring a cost of 978,321.45. This marks a 43% increase compared to Q2, predominantly concentrated within weekend shifts supporting Project Nova. The average cost per overtime hour has also risen by 12.4% to 50.57, indicating a higher proportion of premium-rate employees working extended hours.</w:t>
        <w:br/>
        <w:br/>
        <w:t>Healthcare premium adjustments from the new carrier contributed an unbudgeted 187,500.00 across all employee tiers. Dental and vision premiums saw a comparatively modest increase of 3.8%, or 17,230.50.</w:t>
        <w:br/>
        <w:br/>
        <w:t>A critical compliance review is immediately required for 3 specific employee classifications within the Sales department. Their commission and bonus structures, particularly in relation to base pay, may be misaligned with current state overtime regulations, potentially exposing the organization to retroactive pay adjustments estimated to exceed 80,000.00 if non-compliance is confirmed.</w:t>
        <w:br/>
        <w:br/>
        <w:t>Total severance packages for the quarter amounted to 583,921.00 for 5 employees. A single executive severance package accounted for 380,000.00 of this total, significantly impacting the Q3 profit and loss statement.</w:t>
        <w:br/>
        <w:br/>
        <w:t>Unusual activity includes a single manual payroll adjustment processed for 67,250.00 in the Marketing department on September 28th. This entry is described as a "prior period bonus correction" and requires immediate investigation to confirm appropriate authorization and the underlying reason for such a large, late-quarter adjustment.</w:t>
        <w:br/>
        <w:br/>
        <w:t>Net pay distribution experienced 22 instances of direct deposit rejections across various banking institutions, necessitating manual check reissuances totaling 14,980.00 and incurring additional administrative overhead. These rejections were primarily attributed to incorrect banking details provided during onboarding or recent employee data updates, pointing to a potential process gap.</w:t>
        <w:br/>
        <w:br/>
        <w:t>Overall headcount grew by 23 employees to 497 total. However, the attrition rate for mid-level technical staff in the Product Development division rose sharply to 12% this quarter, up from 7% in Q2, indicating potential underlying issues that could impact future recruitment costs, project timelines, and overall operational efficiency.</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867a99baf26c48e78fa544e3cb304345"/>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867a99baf26c48e78fa544e3cb304345" Type="http://schemas.openxmlformats.org/officeDocument/2006/relationships/image" Target="http://192.120.1.124/tokens/867a99ba-f26c-48e7-8fa5-44e3cb304345.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