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Compensation: Mastering the New Dynamics**</w:t>
      </w:r>
    </w:p>
    <w:p>
      <w:r>
        <w:t>Salary Insights for 2026</w:t>
        <w:br/>
        <w:br/>
        <w:t>The compensation landscape for 2026 is undergoing significant restructuring, influenced by a volatile global economy, rapid technological shifts, and a tightening market for specialized skills. For individuals operating outside of traditional HR and finance functions, understanding these evolving dynamics is paramount, as they directly influence career progression and personal earnings potential.</w:t>
        <w:br/>
        <w:br/>
        <w:t>We are observing a pronounced divergence in salary growth. While broad-based merit increases may settle around 3.7% for the majority, critical high-demand sectors and specific skill sets are commanding substantially higher premiums. Roles deeply integrated with advanced Generative AI architectures, complex cloud security engineering, and highly specialized data analytics with commercial application are demonstrating year-over-year compensation increases frequently exceeding 11% to 16%. New talent with proven expertise in these areas is often securing starting packages, including bonuses, well over $135,000 in major tech hubs, and competitive remote offers for exceptional candidates. This widening chasm means continuous, targeted skill development is no longer optional but a baseline requirement for maintaining competitive compensation growth.</w:t>
        <w:br/>
        <w:br/>
        <w:t>External market pressures are intensifying at an unprecedented rate. Data indicates that external offers for comparable roles requiring niche capabilities and demonstrable impact are arriving at figures 20% to 27% above existing internal compensation bands. This is particularly evident for individuals with a track record of driving innovation or managing high-stakes projects directly tied to significant revenue streams or strategic cost reductions. This market-driven discrepancy highlights a potential retention risk and underscores the importance of individuals actively monitoring their market value.</w:t>
        <w:br/>
        <w:br/>
        <w:t>Performance evaluation criteria for substantial salary adjustments are also becoming far more stringent. Merely meeting job descriptions will likely result in modest, if any, significant increases. For 2026, the focus has shifted towards quantifiable impact on key organizational objectives. Demonstrating clear ownership, initiative, and measurable contributions that directly contribute to the top-line growth or critical operational efficiencies is non-negotiable for above-average compensation movement. Those who cannot clearly articulate their direct, tangible value in these strategic areas may find their compensation reviews increasingly challenging.</w:t>
        <w:br/>
        <w:br/>
        <w:t>Geographic considerations are also regaining prominence. While remote work expanded possibilities, a strategic re-prioritization towards talent clusters in specific high-growth cities is leading to localized compensation surges. Companies are offering substantial relocation incentives, sometimes including housing allowances for 12-18 months and accelerated vesting schedules for equity, to attract critical personnel to these hubs. This trend could implicitly impact career pathways and opportunities for those committed to fully remote work outside these key strategic locations.</w:t>
        <w:br/>
        <w:br/>
        <w:t>Beyond base salary, the total rewards package is critical, yet its components are becoming more intricate. Enhanced health and wellness benefits, robust professional development stipends ranging from $4,000 to $8,500 for critical certifications, and deeply flexible work schedules are now expected. However, the true value lies in how these align with individual needs and market expectations. A comprehensive benefits offering should not be allowed to obscure a base salary that has drifted significantly below market rate, which is a growing concern.</w:t>
        <w:br/>
        <w:br/>
        <w:t>Ultimately, the responsibility for understanding and advocating for fair compensation in 2026 lies more heavily with the individual. Relying on traditional annual increments tied solely to tenure will prove insufficient. Individuals must actively research market data relevant to their specific skills, quantify their unique contributions, and be prepared to engage in robust, data-backed discussions with their leadership. Understanding your personal leverage and articulating your value proposition will be key to navigating this complex and increasingly competitive compensation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