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Assembly Line Optimization: Preliminary Performance Analysis (V67)</w:t>
      </w:r>
    </w:p>
    <w:p>
      <w:r>
        <w:t>Assembly Line Optimization Draft: Version 67</w:t>
        <w:br/>
        <w:t>Process Engineering</w:t>
        <w:br/>
        <w:br/>
        <w:t>This draft outlines preliminary observations and potential areas for review concerning current assembly line operations. The objective is to identify opportunities for efficiency gains and process refinement across various stages. Focus remains on systemic consistency and minor performance enhancements without necessitating immediate significant capital expenditure.</w:t>
        <w:br/>
        <w:br/>
        <w:t>Current cycle time data indicates an average fluctuation of 4.8 seconds between the shortest and longest observed manual stations. Automated station throughput consistently maintains a 0.3 second variance from its target rate. Material presentation to line buffers typically arrives within a 14.5 to 19.3 minute window from initial request.</w:t>
        <w:br/>
        <w:br/>
        <w:t>Workstation balancing analysis shows a spread in utilization percentages, with some stations operating at 93.1% and others at 79.6%. This suggests a minor imbalance in task distribution or operator pacing. Queue sizes upstream of critical assembly points have been noted ranging from 3.7 to 8.2 units on average during peak operational hours.</w:t>
        <w:br/>
        <w:br/>
        <w:t>Tooling calibration schedules are being adhered to at a 96.5% compliance rate. Minor tooling adjustments occur approximately 1.4 times per shift on average, typically resolved within 5 to 8 minutes. Operator adherence to standard work instructions maintains a consistent 92.7% observed rate across all shifts.</w:t>
        <w:br/>
        <w:br/>
        <w:t>First pass yield metrics are currently holding at 95.8% for the primary product variant. Defect rates at final quality inspection stand at 0.42%. These figures demonstrate a stable process, though continuous improvement efforts can target marginal gains. Energy consumption profiles suggest minor spikes correlating with specific equipment cycling rather than continuous demand fluctuations. Overall equipment effectiveness for the primary assembly line measures 86.2% when considering planned downtime.</w:t>
        <w:br/>
        <w:br/>
        <w:t>Inventory levels at the line side are generally within established parameters, with a replenishment frequency averaging 2.6 hours for high-volume components. Data on material handling travel paths indicates an average traversal distance of 38.4 meters per component from storage to point of use. Feedback mechanisms for minor process deviations are typically actioned within 24 hours of report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