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AuthRGen-Beta: Evolving Authentication Architecture</w:t>
      </w:r>
    </w:p>
    <w:p>
      <w:r>
        <w:t>The ongoing evolution of authentication modules continues to present unique architectural challenges. Our current focus within the AuthRGen-Beta initiative involves a comprehensive review of existing patterns and the integration of emerging industry standards to ensure long-term sustainability and adaptability. We are evaluating various integration strategies for third-party identity providers, considering aspects like latency optimization and failover mechanisms.</w:t>
        <w:br/>
        <w:br/>
        <w:t>Initial architectural discussions held on April 11, 2025, highlighted the need to decouple core identity services from the application-specific authentication flows. This modular approach aims to improve maintainability and enable independent scaling of components. The technical steering committee has emphasized a preference for open standards where feasible, reducing vendor lock-in and simplifying future upgrades. Data synchronization patterns across geographically distributed instances are being analyzed to ensure eventual consistency without compromising user experience.</w:t>
        <w:br/>
        <w:br/>
        <w:t>During the Q3-FY24-R4 review cycle, several areas for potential refactoring were identified, particularly around token lifecycle management and credential storage paradigms. We are currently assessing the implications of adopting a more ephemeral session model to enhance security posture without impacting system performance. The architectural blueprint for this phase, documented under reference hash a3b9c1d2e4f5g6h7, outlines a phased rollout strategy.</w:t>
        <w:br/>
        <w:br/>
        <w:t>The scope for the IDM-Evo-27 project includes a detailed exploration of multifactor authentication options and their integration complexity across diverse client applications. Ensuring a consistent user experience while maintaining robust security controls remains a primary objective. We also note the continuous need to align with various compliance requirements, which often necessitate periodic updates to underlying authentication logic.</w:t>
        <w:br/>
        <w:br/>
        <w:t>The projected timeline indicates a sustained effort over the next two fiscal quarters to finalize the core architectural decisions and commence prototyping for critical paths. Feedback channel SFD-X9K-3J2 remains open for architects to contribute insights and observations from their respective domains. We aim to ensure the updated module, targeting version v1.8.3-patch compatibility, is resilient, scalable, and adaptable to future demands.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