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Deceptive Metrics: The Illusion of Operational Health</w:t>
      </w:r>
    </w:p>
    <w:p>
      <w:r>
        <w:t>The reliance on summary statistics often masks operational realities, presenting a facade of efficiency while core problems persist. Management reports can highlight seemingly impressive figures, yet a deeper dive frequently reveals systemic weaknesses or areas where performance is superficially enhanced.</w:t>
        <w:br/>
        <w:br/>
        <w:t>Consider the reported First Contact Resolution rate. A consistent 87% might appear exemplary, suggesting robust agent training and effective knowledge bases. However, this metric can be distorted by how "first contact" is defined, or by an unofficial directive to only count simple, easily closed interactions. If agents are incentivized to close tickets on first contact, they might be quick to transfer complex issues, which then inflate another team's re-open rate or lead to customer frustration after an initial "resolution" that didn't stick. The true customer journey often involves multiple interactions across different channels, none of which are captured by this singular metric. For instance, while initial FCR shows 87%, the actual re-contact rate for the same issue within 72 hours could be a concerning 34%, with an average of 1.7 additional contacts before final resolution.</w:t>
        <w:br/>
        <w:br/>
        <w:t>Average Handle Time (AHT) is another key performance indicator that can mislead. A target average of 4 minutes 18 seconds per interaction might drive agents to rush through calls, potentially sacrificing thoroughness for speed. While the overall AHT might drop from 5 minutes 11 seconds to 4 minutes 23 seconds over a quarter, the associated customer satisfaction scores for "issue completely resolved" could simultaneously decline from 8.2 to 7.1 on a 10-point scale. This suggests that efficiency gains are coming at the expense of quality. Additionally, a low AHT can be achieved by transferring difficult cases, thereby shifting the responsibility and the time commitment to a specialized queue, which then experiences higher AHTs, such as 12 minutes 5 seconds, rather than addressing the core issue within the initial contact.</w:t>
        <w:br/>
        <w:br/>
        <w:t>Customer Satisfaction (CSAT) scores, often seen as the ultimate arbiter of success, also warrant scrutiny. A reported CSAT of 91% sounds outstanding. However, the methodology behind these surveys is critical. If surveys are primarily sent after easily resolved issues, or if there's a significant delay in sending them, the results can be skewed. An internal audit might reveal that only 28% of all closed tickets actually receive a survey, with responses heavily weighted towards positive interactions that required minimal effort from the customer. Furthermore, the feedback mechanism itself might be flawed, with only 12% of customers providing qualitative comments. The most dissatisfied customers might not even bother to respond, opting instead to churn, a metric that won't appear on a CSAT dashboard. For example, while the overall CSAT is high, the Net Promoter Score for complex issues could be a negative 19, indicating a significant segment of highly dissatisfied customers who are promoters of competitor services.</w:t>
        <w:br/>
        <w:br/>
        <w:t>Ticket Resolution Time (TRT) can also be deceptive. A reported average resolution time of 2 days 14 hours might seem acceptable, indicating prompt action. However, this metric often begins once a ticket is formally assigned, not when the customer initially contacted support. Time spent in triage, unassigned queues, or waiting for internal redirects can extend the real customer wait time significantly, perhaps by an additional 1 day 8 hours, without impacting the displayed TRT. Furthermore, tickets might be prematurely closed, showing a quick resolution, only to be re-opened later by the same or a different customer. The re-open rate for tickets marked "resolved" within 24 hours could be as high as 18%, suggesting incomplete solutions. A particular agent might have an average resolution time of 1 day 2 hours, but this could be due to a disproportionate number of low-complexity tickets, or a tendency to escalate difficult ones quickly. The system might also automatically close tickets after 72 hours of no customer response, artificially reducing the resolution time without actual engagement.</w:t>
        <w:br/>
        <w:br/>
        <w:t>Backlog figures, while seemingly straightforward, can also be managed to look favorable. A stable backlog of 3,750 open tickets might suggest consistent processing. However, this figure might exclude tickets that have been manually moved to a "parking lot" status, where they are effectively ignored but not closed, adding an invisible 980 tickets to the actual workload. Similarly, tickets awaiting third-party vendor input might be placed in a separate, uncounted queue, artificially reducing the main backlog count. The average age of tickets within the "parking lot" could be 27 days, significantly higher than the reported average age of 5 days 19 hours for active tickets. This practice inflates apparent efficiency by hiding difficult or long-running issues from immediate view.</w:t>
        <w:br/>
        <w:br/>
        <w:t>Ultimately, these examples illustrate that raw metric performance, while useful, must be interpreted within a broader context. A positive trend in one area could be a symptom of a negative shift elsewhere, or simply a reflection of an incomplete picture. Vigilance is required to ensure that reported metrics genuinely reflect the customer experience and operational health, rather than just optimizing for favorable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