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**Expense Review: Items for Clarification**</w:t>
      </w:r>
    </w:p>
    <w:p>
      <w:r>
        <w:t>Observations from recent expense reviews indicate minor discrepancies that warrant a brief follow-up for clarity and adherence to guidelines. These items are noted for their slightly unusual nature rather than immediate policy violations.</w:t>
        <w:br/>
        <w:br/>
        <w:t>Expense submission on April 12th for $48.75 at "Daily Grind Coffee" with no other associated travel or meeting expenses for that day. This individual usually travels extensively; an isolated local coffee expense is slightly atypical.</w:t>
        <w:br/>
        <w:br/>
        <w:t>A receipt for $195.00 from "Generic Tech Store" for "misc cables and adapters" submitted on June 5th. This value is just under the $200 threshold that would require secondary departmental approval. While acceptable, several similar claims have been noted from the same team over the last quarter.</w:t>
        <w:br/>
        <w:br/>
        <w:t>Two separate taxi receipts, one for $32.50 and another for $34.00, both submitted on March 20th within a 45-minute window for an employee in a non-sales role. Destinations are generic "city center." Possible double submission or unusual transit requirement.</w:t>
        <w:br/>
        <w:br/>
        <w:t>Hotel incidentals charge of $15.50 for "in-room entertainment" on a business trip from May 8th. Policy generally discourages personal entertainment expenses without clear business justification.</w:t>
        <w:br/>
        <w:br/>
        <w:t>A recurring monthly subscription service for "Premium News Access" at $29.99. While relevant for some roles, this specific service is not typically used by the claiming individual's department and has been active for six months without documented business need.</w:t>
        <w:br/>
        <w:br/>
        <w:t>Meal expense for $85.30 on February 14th, listed as "Client Dinner." No client name or company was provided in the details, which is a minor omission from standard procedure.</w:t>
        <w:br/>
        <w:br/>
        <w:t>Parking receipt for $27.00 submitted for a Sunday on July 1st. The employee's standard work schedule does not include weekend shifts, and no specific event or project was noted to justify weekend office presence.</w:t>
        <w:br/>
        <w:br/>
        <w:t>A claim for mileage reimbursement showing a consistent daily commute distance of 35 miles round trip, five days a week, for a period of two months. Company policy states that regular commuting to the primary work location is generally not reimbursable without specific approval.</w:t>
        <w:br/>
        <w:br/>
        <w:t>Purchase of general office supplies totaling $78.12 from a non-preferred vendor on August 10th. While within limits, the use of a non-contracted supplier for routine items is uncommon for this department.</w:t>
        <w:br/>
        <w:br/>
        <w:t>Receipt for $11.00 for "fast food" on January 22nd, submitted alongside a separate full meal expense ($42.00) from a different establishment within two hours. Could be an accidental submission or an unusual eating pattern.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