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High-Priority Payments: Due Dates &amp; Critical Impact</w:t>
      </w:r>
    </w:p>
    <w:p>
      <w:r>
        <w:t>- Critical cloud infrastructure provider for platform stability. Invoice ID: CLD-7489-GH. Due date: February 22. Delay could impact core service accessibility for clients.</w:t>
        <w:br/>
        <w:t>- Primary manufacturing component supplier. Payment for order PO-3921-AZ, amounting to $78,120.15. Terms require payment within 7 days to avoid production line slowdown.</w:t>
        <w:br/>
        <w:t>- Employee health benefits administrator. Invoice number: HLT-6190-JKL. Payment of $52,345.80 due February 20. Essential for uninterrupted employee coverage.</w:t>
        <w:br/>
        <w:t>- Urgent facility maintenance services. Work order ID: FCL-5501-MN. Total $5,980.25. Expedited payment ensures future rapid response for critical repairs.</w:t>
        <w:br/>
        <w:t>- Enterprise resource planning software license renewal. Vendor ID: ERP-321B. Annual fee of $135,000.00. Payment due by February 25 to maintain system access.</w:t>
        <w:br/>
        <w:t>- Digital marketing campaign provider. Invoice reference: MKT-2023-PQR. Amount: $18,760.00. Timely payment helps sustain ongoing campaign performance and reach targets.</w:t>
        <w:br/>
        <w:t>- Logistics and shipping partner for inbound raw materials. Invoice: LGS-8876-STU. $9,310.50 due in 4 days. Crucial for consistent inventory levels.</w:t>
        <w:br/>
        <w:t>- Cybersecurity incident response retainer. Vendor ID: SEC-405C. Quarterly payment of $25,000.00. Non-payment could jeopardize immediate support in a breach scenario.</w:t>
        <w:br/>
        <w:t>- Office utilities supplier for main operational hub. Account: UTIL-7123-VWX. Amount: $4,570.90. Overdue by 2 days; avoiding service interruption is key.</w:t>
        <w:br/>
        <w:t>- Specialized consultant for regulatory compliance audit. Project ID: REG-601-YZ. Final payment of $14,200.00. Ensures final report delivery without delay.</w:t>
        <w:br/>
        <w:t>- Raw material supplier for a critical product line. Purchase order: PO-5532-CD. Invoice value $45,670.30. Payment in 5 days is vital for maintaining supply chain stability.</w:t>
        <w:br/>
        <w:t>- Third-party IT support vendor. Ticket reference: ITS-9087-AB. Recurring service fee of $6,750.00. Ensures prompt resolution of technical issues.</w:t>
        <w:br/>
        <w:t>- Lease payment for essential production equipment. Contract ID: EQ-104-FG. Monthly amount: $15,800.00. Due February 19 to prevent breach of lease terms.</w:t>
        <w:br/>
        <w:t>- Travel and expense reimbursement platform vendor. Invoice: TREX-301-HI. Quarterly service charge of $3,200.00. Ensures employees can submit expenses efficiently.</w:t>
        <w:br/>
        <w:t>- Legal counsel for ongoing litigation. Case reference: LGL-2024-JKL. Invoice for services rendered: $22,900.00. Timely payment maintains a strong working relationship.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