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AGREEMENT FOR PROVISION OF SERVICES</w:t>
        <w:br/>
        <w:br/>
        <w:t>This Agreement is entered into on this 22nd day of February, 2025 (the "Effective Date") by and between Apex Systems Corporation, a Delaware corporation with its principal place of business at 101 Summit Drive, Suite 500, Cityville, CA 90210 ("Client"), and Zenith Solutions Group, LLC, a Nevada limited liability company with its principal place of business at 456 Innovation Parkway, Building B, Techburg, NV 89501 ("Provider").</w:t>
        <w:br/>
        <w:br/>
        <w:t>RECITALS</w:t>
        <w:br/>
        <w:br/>
        <w:t>WHEREAS, Client desires to obtain certain professional services related to operational efficiency and digital transformation; and</w:t>
        <w:br/>
        <w:br/>
        <w:t>WHEREAS, Provider possesses the necessary expertise and resources to furnish such services to Client;</w:t>
        <w:br/>
        <w:br/>
        <w:t>NOW, THEREFORE, in consideration of the mutual covenants and agreements contained herein, the parties agree as follows:</w:t>
        <w:br/>
        <w:br/>
        <w:t>1. Scope of Services. Provider shall perform the services (the "Services") as generally described in Exhibit A, attached hereto and incorporated by reference. The specific details, deliverables, and timelines for the Services will be further defined in separate Statements of Work ("SOWs") mutually agreed upon and executed by both parties. Each SOW shall reference this Agreement and be subject to its terms and conditions.</w:t>
        <w:br/>
        <w:br/>
        <w:t>2. Term. The initial term of this Agreement shall commence on the Effective Date and shall continue for a period of thirty-seven (37) months, unless terminated earlier pursuant to the provisions herein (the "Initial Term"). Following the Initial Term, this Agreement shall automatically renew for successive periods of twenty-four (24) months each (each, a "Renewal Term"), unless either party provides written notice of non-renewal at least ninety (90) days prior to the end of the then-current term.</w:t>
        <w:br/>
        <w:br/>
        <w:t>3. Fees and Payment. Client shall pay Provider fees for the Services as specified in each SOW. Unless otherwise stated in an SOW, invoices shall be submitted monthly and are due and payable within thirty-five (35) days of the invoice date. All payments shall be made in United States Dollars. Any amounts not paid when due shall bear interest at the rate of one percent (1%) per month, or the maximum rate permitted by law, whichever is less.</w:t>
        <w:br/>
        <w:br/>
        <w:t>4. Confidentiality. Each party acknowledges that it may have access to confidential and proprietary information of the other party. "Confidential Information" means any non-public information, whether commercial, financial, technical, or otherwise, disclosed by one party (the "Disclosing Party") to the other party (the "Receiving Party"), whether orally, visually, in writing, or by any other means, that is designated as confidential or that, by its nature or the circumstances of its disclosure, would reasonably be understood to be confidential. The Receiving Party agrees to protect the Disclosing Party's Confidential Information with the same degree of care it uses to protect its own similar confidential information, but in no event less than reasonable care. The Receiving Party shall not disclose, copy, or use the Disclosing Party's Confidential Information for any purpose other than to fulfill its obligations under this Agreement. These obligations shall survive the termination or expiration of this Agreement for a period of five (5) years.</w:t>
        <w:br/>
        <w:br/>
        <w:t>5. Representations and Warranties. Each party represents and warrants that it has the full power and authority to enter into this Agreement and to perform its obligations hereunder. Provider represents and warrants that the Services will be performed in a professional and workmanlike manner, consistent with industry standards.</w:t>
        <w:br/>
        <w:br/>
        <w:t>6. Indemnification. Each party ("Indemnifying Party") shall indemnify, defend, and hold harmless the other party, its affiliates, and their respective officers, directors, employees, and agents from and against any and all claims, damages, losses, liabilities, costs, and expenses (including reasonable attorneys' fees) arising out of or relating to any breach by the Indemnifying Party of its representations, warranties, or covenants set forth in this Agreement.</w:t>
        <w:br/>
        <w:br/>
        <w:t>7. Limitation of Liability. EXCEPT FOR OBLIGATIONS UNDER SECTION 6 (INDEMNIFICATION) OR BREACH OF SECTION 4 (CONFIDENTIALITY), NEITHER PARTY SHALL BE LIABLE FOR ANY INDIRECT, INCIDENTAL, SPECIAL, CONSEQUENTIAL, OR PUNITIVE DAMAGES, INCLUDING WITHOUT LIMITATION, LOSS OF PROFITS, DATA, USE, GOODWILL, OR OTHER INTANGIBLE LOSSES, ARISING OUT OF OR IN CONNECTION WITH THIS AGREEMENT OR THE USE OF OR INABILITY TO USE THE SERVICES, WHETHER BASED ON WARRANTY, CONTRACT, TORT (INCLUDING NEGLIGENCE), OR ANY OTHER LEGAL THEORY, EVEN IF SUCH PARTY HAS BEEN ADVISED OF THE POSSIBILITY OF SUCH DAMAGES. IN NO EVENT SHALL EITHER PARTY'S TOTAL AGGREGATE LIABILITY UNDER THIS AGREEMENT EXCEED THE TOTAL FEES PAID BY CLIENT TO PROVIDER IN THE TWELVE (12) MONTHS IMMEDIATELY PRECEDING THE EVENT GIVING RISE TO THE CLAIM.</w:t>
        <w:br/>
        <w:br/>
        <w:t>8. Termination.</w:t>
        <w:br/>
        <w:t>a. Either party may terminate this Agreement for convenience upon ninety-five (95) days' prior written notice to the other party.</w:t>
        <w:br/>
        <w:t>b. Either party may terminate this Agreement immediately upon written notice if the other party materially breaches any of its obligations hereunder and fails to cure such breach within forty-two (42) days after receiving written notice thereof.</w:t>
        <w:br/>
        <w:br/>
        <w:t>9. Governing Law. This Agreement shall be governed by and construed in accordance with the laws of the State of Ohio, without regard to its conflict of laws principles.</w:t>
        <w:br/>
        <w:br/>
        <w:t>10. Notices. All notices, requests, demands, and other communications hereunder shall be in writing and shall be deemed to have been duly given when delivered by hand, by email with confirmation of receipt, by nationally recognized overnight courier service, or by certified or registered mail, return receipt requested, postage prepaid, to the addresses set forth below or to such other address as either party may designate by notice to the other party:</w:t>
        <w:br/>
        <w:br/>
        <w:t>To Client:</w:t>
        <w:br/>
        <w:t>Apex Systems Corporation</w:t>
        <w:br/>
        <w:t>Attn: Legal Department</w:t>
        <w:br/>
        <w:t>101 Summit Drive, Suite 500</w:t>
        <w:br/>
        <w:t>Cityville, CA 90210</w:t>
        <w:br/>
        <w:t>Email: legalnotices@apexcorp.com</w:t>
        <w:br/>
        <w:br/>
        <w:t>To Provider:</w:t>
        <w:br/>
        <w:t>Zenith Solutions Group, LLC</w:t>
        <w:br/>
        <w:t>Attn: Contracts Administration</w:t>
        <w:br/>
        <w:t>456 Innovation Parkway, Building B</w:t>
        <w:br/>
        <w:t>Techburg, NV 89501</w:t>
        <w:br/>
        <w:t>Email: admin@zenithsolutions.net</w:t>
        <w:br/>
        <w:br/>
        <w:t>11. Miscellaneous.</w:t>
        <w:br/>
        <w:t>a. Entire Agreement. This Agreement, together with any SOWs, constitutes the entire agreement between the parties concerning the subject matter hereof and supersedes all prior and contemporaneous agreements, proposals, or representations, written or oral.</w:t>
        <w:br/>
        <w:t>b. Assignment. Neither party may assign or transfer any of its rights or obligations hereunder without the prior written consent of the other party, which consent shall not be unreasonably withheld or delayed.</w:t>
        <w:br/>
        <w:t>c. Severability. If any provision of this Agreement is found to be invalid or unenforceable, the remaining provisions shall remain in full force and effect.</w:t>
        <w:br/>
        <w:t>d. Waiver. The failure of either party to enforce any provision of this Agreement shall not be construed as a waiver of such provision or of the right to enforce such provision.</w:t>
        <w:br/>
        <w:br/>
        <w:t>IN WITNESS WHEREOF, the parties have executed this Agreement as of the Effective Date.</w:t>
        <w:br/>
        <w:br/>
        <w:t>CLIENT:</w:t>
        <w:br/>
        <w:br/>
        <w:t>Apex Systems Corporation</w:t>
        <w:br/>
        <w:br/>
        <w:t>By:</w:t>
        <w:br/>
        <w:t>Name: Evelyn Reed</w:t>
        <w:br/>
        <w:t>Title: Vice President, Operations</w:t>
        <w:br/>
        <w:br/>
        <w:t>PROVIDER:</w:t>
        <w:br/>
        <w:br/>
        <w:t>Zenith Solutions Group, LLC</w:t>
        <w:br/>
        <w:br/>
        <w:t>By:</w:t>
        <w:br/>
        <w:t>Name: Marcus Thorne</w:t>
        <w:br/>
        <w:t>Title: Chief Technology Officer</w:t>
        <w:br/>
        <w:br/>
        <w:t>EXHIBIT A</w:t>
        <w:br/>
        <w:t>DESCRIPTION OF SERVICES</w:t>
        <w:br/>
        <w:br/>
        <w:t>Provider shall render comprehensive strategic advisory services focused on improving Client's internal process workflows and digital platform integrations. This includes preliminary analysis of existing systems, recommendation of suitable technology enhancements, and support during the initial phases of implementation. Specific project details, resource allocation, and measurable outcomes will be defined in subsequent Statements of Work. The Services may involve, but are not limited to, workshops, documentation, and consultative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