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**Confidential: Project Peregrine Strategic Restructuring Plan**</w:t>
      </w:r>
    </w:p>
    <w:p>
      <w:r>
        <w:t>Internal Restructuring Initiative Project Peregrine Overview</w:t>
        <w:br/>
        <w:br/>
        <w:t>Strategic review indicates a critical need for enhanced operational agility and alignment with evolving market dynamics. The proposed framework targets specific areas for optimization to secure long-term competitive positioning. This is a highly sensitive document requiring absolute discretion.</w:t>
        <w:br/>
        <w:br/>
        <w:t>Primary objective centers on consolidating core functionalities to improve decision velocity and resource allocation across key segments. A detailed analysis has identified substantial redundancy in legacy workflows, particularly within cross-functional support units. Projected cost efficiencies stemming from these adjustments are estimated at 3.7 million over 18 months.</w:t>
        <w:br/>
        <w:br/>
        <w:t>The plan introduces a revised organizational structure impacting several departments. Key changes involve the integration of client-facing operations currently split between units Gamma 7 and Delta 14. This merge aims to create a unified customer experience platform and streamline service delivery. Anticipated headcount adjustments within these combined units will affect approximately 43 roles, primarily through skill recalibration and internal redeployment where feasible. A specific focus is placed on enhancing our digital capabilities, requiring a significant shift in talent profiles towards advanced analytics and AI integration.</w:t>
        <w:br/>
        <w:br/>
        <w:t>Resource recalibration will extend to our product development pipeline. Project 9142, focusing on market penetration in the Asia-Pacific region, will receive an increased allocation, while project 3785 will be placed on an extended review cycle, potentially pausing new feature development for an indefinite period. This re-prioritization reflects a 17.5 percent shift in R&amp;D investment profiles.</w:t>
        <w:br/>
        <w:br/>
        <w:t>Communication strategy development is ongoing and paramount. The current timeline projects an internal announcement window between week 11 and week 15 of the current fiscal year. External messaging will be carefully crafted following internal disclosures, aiming to manage stakeholder perception effectively. Key personnel within senior leadership have been engaged in preliminary discussions regarding their respective areas, and further confidential briefings are scheduled.</w:t>
        <w:br/>
        <w:br/>
        <w:t>Financial implications include an initial investment phase of 2.1 million to cover severance packages, retraining programs, and new technology implementation. The long-term savings and increased revenue potential, however, project a positive net gain by the close of fiscal year 2026. Risk assessments highlight potential employee morale fluctuations and the need for robust change management protocols. Our target for achieving 8.9 percent improved process efficiency is aggressive but achievable with dedicated leadership oversight.</w:t>
        <w:br/>
        <w:br/>
        <w:t>Talent management strategies include enhanced outplacement services for impacted individuals and targeted development programs for those transitioning into new roles. Leadership training will focus on guiding teams through significant structural change and maintaining productivity. Regular confidential updates will be provided to the executive committee as implementation phases progress, particularly concerning the 52 identified critical success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