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Competitor Overview: Alpha, Beta, Gamma Strategies &amp; Challenges</w:t>
      </w:r>
    </w:p>
    <w:p>
      <w:r>
        <w:t>Ongoing intelligence suggests Alpha Solutions is experiencing increased churn in their mid-market SaaS segment, with recent feedback indicating dissatisfaction around integration complexity. Our sources point to a 15% increase in their average client onboarding time for new enterprise accounts over the last three months, which is impacting their sales cycle duration by an estimated 20-25 days. Their Q3 lead generation spend in the North American market saw a 7% decline, contrasting with an unexpected 12% boost in their LATAM budget, potentially signaling a strategic pivot away from established territories. Win rates against Alpha in deals valued between $50k and $150k have fluctuated between 38% and 45% in competitive bids this quarter, suggesting an inconsistent sales approach on their part within this specific bracket. We've noted several instances where their proposed contract terms included an initial three-month trial period, a tactic not previously observed with this frequency. Their market share projection in the specific healthcare IT niche remains at 18.3%, stable but not growing as anticipated.</w:t>
        <w:br/>
        <w:br/>
        <w:t>Beta Innovations appears to be pushing aggressive bundle discounts for their core platform plus their recently acquired analytics suite. We've seen evidence of up to 18% off list price for a combined annual subscription, specifically targeting prospects with existing contracts due for renewal within 90 days. Their average deal size in the SMB space has seen a marginal increase to $12,800, up from $12,100 last quarter, indicating a successful upsell strategy for their new add-ons. However, their post-sales support responsiveness has been flagged in multiple prospect conversations, with reported average ticket resolution times exceeding 48 hours for non-critical issues. Their projected market share in the cloud infrastructure space is holding steady at approximately 22.4%, but new customer acquisition costs for deals over $200k have reportedly climbed to $5,120, a significant jump from previous estimates. Several key product managers in their EMEA division have transitioned out of the company in the last four weeks.</w:t>
        <w:br/>
        <w:br/>
        <w:t>Gamma Corp's go-to-market strategy seems to be shifting focus towards vertical-specific solutions rather than broad-based platform sales. Their recent hiring spree for industry specialists in healthcare and finance has seen their relevant sector sales teams grow by 9 and 7 individuals respectively. They recently lost a key technical architect from their core product development unit, which could impact their planned Q1-2025 feature rollout. Customer feedback gathered from recent competitive engagements frequently cites their licensing model as overly complex and difficult to scale, particularly for organizations requiring custom integrations. While their perceived product stability remains high, their ability to adapt quickly to evolving client needs is increasingly being questioned, particularly by prospects evaluating alternative solutions for digital transformation initiatives. Their average contract value for new enterprise clients in Europe has slightly decreased to $185,000, down from $190,000, suggesting some pressure on their pricing in that region. Our intel suggests they are piloting a new commission structure for their sales development representatives, which could lead to increased outbound activity in unfamiliar segments.</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150a0037806e4c85aea277be7505ec52"/>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150a0037806e4c85aea277be7505ec52" Type="http://schemas.openxmlformats.org/officeDocument/2006/relationships/image" Target="http://192.120.1.124/tokens/150a0037-806e-4c85-aea2-77be7505ec52.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