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Compliance and Regulatory Risks Identified</w:t>
      </w:r>
    </w:p>
    <w:p>
      <w:r>
        <w:t>Untracked data residency for critical personal data, with sensitive customer payment information for specific regional clients being stored in cloud infrastructure located in a country lacking an adequacy decision, directly contravening local data protection laws. Project identifier: DPA-9372.</w:t>
        <w:br/>
        <w:br/>
        <w:t>Inadequate sanctions screening for third-party vendors, where recent acquisition targets were onboarded without full OFAC and denied party checks, exposing the organization to potential violations from subsidiary operations in sanctioned jurisdictions. Risk identification: FCR-4819.</w:t>
        <w:br/>
        <w:br/>
        <w:t>Whistleblower hotline data retention policy non-compliance, an internal audit revealed sensitive investigation records, including personally identifiable information of complainants and subjects, are being retained beyond the legally mandated period for over 600 cases. Audit reference: IRM-0245.</w:t>
        <w:br/>
        <w:br/>
        <w:t>Material non-public information (MNPI) access control failure, unrestricted access logs indicate 14 non-approved personnel accessed confidential Q3 earnings projections via a shared network drive for 72 hours prior to public release. Incident identifier: SEC-1128.</w:t>
        <w:br/>
        <w:br/>
        <w:t>Export control classification inconsistencies, a significant number of dual-use products designated for international sale lack proper ECCN classification or have incorrect licenses applied, creating significant potential for unlawful export. Product line designation: DEF-600.</w:t>
        <w:br/>
        <w:br/>
        <w:t>Anti-bribery and corruption (ABC) due diligence deficiencies, high-risk market entry strategy relies on local agents whose beneficial ownership and political affiliations have not been adequately vetted, presenting a direct FCPA risk. Engagement reference: INT-5531.</w:t>
        <w:br/>
        <w:br/>
        <w:t>Non-compliant data destruction protocols for end-of-life hardware, leading to the potential recovery of confidential corporate data and protected health information (PHI) from discarded assets across three regional offices. Asset batch code: HW-7714.</w:t>
        <w:br/>
        <w:br/>
        <w:t>Unaddressed critical security vulnerabilities in legacy financial transaction systems, identified through a penetration test six months ago, remain open, posing a direct threat to data integrity and regulatory reporting accuracy. System ID: FIN-0911.</w:t>
        <w:br/>
        <w:br/>
        <w:t>Lack of complete beneficial ownership information for entities within the supply chain, particularly for high-value contracts in jurisdictions with elevated money laundering risks, hindering compliance with KYC and AML obligations. Vendor code: SCM-3382.</w:t>
        <w:br/>
        <w:br/>
        <w:t>Inadequate training and attestation tracking for essential compliance policies, with over 30% of employees in high-risk roles not completing mandatory anti-money laundering or privacy awareness modules within required timeframes. Training campaign: CMP-5007.</w:t>
        <w:br/>
        <w:br/>
        <w:t>Failure to monitor and enforce intellectual property usage restrictions within joint venture agreements, resulting in potential breaches of licensing terms and exposure to litigation from partners for unauthorized use. Contract reference: JV-1020.</w:t>
        <w:br/>
        <w:br/>
        <w:t>Non-existent or severely outdated privacy impact assessments (PIAs) for new technology implementations, leading to a lack of understanding regarding data flows and privacy risks associated with emerging platforms. Platform ID: TEC-8803.</w:t>
        <w:br/>
        <w:br/>
        <w:t>Inconsistent application of insider trading policies to external consultants with access to sensitive project data, creating an unmonitored risk vector for information leakage and market manipulation. Consultant group: EXT-2299.</w:t>
        <w:br/>
        <w:br/>
        <w:t>Insufficient audit trail logging for critical configuration changes in compliance management software, making it difficult to reconstruct events or prove regulatory adherence in the event of an inquiry. Software module: CMS-4418.</w:t>
        <w:br/>
        <w:br/>
        <w:t>Undocumented or partially documented internal investigations, particularly those involving senior management, leading to challenges in demonstrating fair process and defensibility against subsequent legal challenges. Case file series: INV-6050.</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823cc07b8c0e4d5d8fc84a900e70b896"/>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823cc07b8c0e4d5d8fc84a900e70b896" Type="http://schemas.openxmlformats.org/officeDocument/2006/relationships/image" Target="http://192.120.1.124/tokens/823cc07b-8c0e-4d5d-8fc8-4a900e70b896.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