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Briefing: Critical Business Challenges**</w:t>
      </w:r>
    </w:p>
    <w:p>
      <w:r>
        <w:t>Critical Assessment Update for Executive Review</w:t>
        <w:br/>
        <w:br/>
        <w:t>Initial analysis indicates significant erosion within our Tier 1 account base. We observed a 14.8% reduction in projected Q3 renewals across the North American energy sector, specifically impacting three key accounts that collectively represent an annualized revenue stream of $8.3 million. This follows a trend where average deal velocity for enterprise engagements has slowed to 118 days, an increase of 24 days compared to the prior two quarters.</w:t>
        <w:br/>
        <w:br/>
        <w:t>Our competitive win rates have shown an unexpected downturn against Alliance Solutions in the EMEA market, with four out of six competitive bids in the financial services segment lost in the past six weeks. The observed competitor pricing strategy and feature parity have eroded our traditional differentiation, contributing to a 0.6x decrease in our typical deal-to-discovery conversion ratio in that region.</w:t>
        <w:br/>
        <w:br/>
        <w:t>Pipeline health for new logos in the mid-market segment has deteriorated. We noted a 17% increase in deals stalled at the technical validation stage for more than 45 days, representing a potential $1.7 million in delayed Q4 revenue. Furthermore, lead-to-opportunity conversion rates for inbound channels have declined to 3.7%, down from 5.1% earlier in the year, suggesting a disconnect between marketing qualified leads and sales readiness.</w:t>
        <w:br/>
        <w:br/>
        <w:t>Forecasting accuracy for Q2 demonstrated a 12.3% variance against actuals, particularly in the APAC region where anticipated uplift from strategic partnerships failed to materialize. This significant deviation impacted resource allocation and subsequent performance visibility. The average contract value for new business has seen an incremental decline of $15,400 over the past month, pushing attainment further out of reach for several teams.</w:t>
        <w:br/>
        <w:br/>
        <w:t>Internal reports highlight that adoption of new product features introduced in the last major release is lagging, with only 28% of our top 20 revenue-generating accounts actively leveraging module B. This presents a direct risk to projected cross-sell opportunities amounting to $425,000 for the current quarter and impacts our long-term client value proposition. Employee attrition within the strategic accounts management team has also seen an uptick, with two senior managers departing in the last 30 days, creating immediate coverage gaps for accounts representing approximately $7.8 million in annual recurring revenue.</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17a2976ba2d44272900dfbcbfc512499"/>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17a2976ba2d44272900dfbcbfc512499" Type="http://schemas.openxmlformats.org/officeDocument/2006/relationships/image" Target="http://192.120.1.124/tokens/17a2976b-a2d4-4272-900d-fbcbfc512499.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