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FY25 Budget: Urgent Mandated Adjustments and Reprioritizations</w:t>
      </w:r>
    </w:p>
    <w:p>
      <w:r>
        <w:t>Urgent review of the proposed FY25 budget framework is required. Unforeseen market volatility and significant shortfalls in projected Q3 revenue have necessitated immediate and substantial recalibrations across all operational divisions. This draft reflects critical, mandated adjustments to ensure fiscal stability and continuity of essential services.</w:t>
        <w:br/>
        <w:br/>
        <w:t>We anticipate significant reductions in capital expenditure originally planned for Q1, specifically impacting projects such as the Branch Network Modernization Phase 2 with a projected reduction of $12,750,000 and the Enterprise Software Platform Upgrade with a $7,380,000 cut. Operational budgets will also see firm revisions; for instance, the Marketing and Outreach department faces a mandated 18% reduction, equating to a $3,125,000 adjustment, requiring an immediate reassessment of upcoming campaigns. Human Resources talent acquisition budget is being reduced by $985,000, impacting planned hires in non-critical support functions.</w:t>
        <w:br/>
        <w:br/>
        <w:t>Conversely, the Cybersecurity Infrastructure Reinforcement program is slated for an additional $4,510,000 allocation, a critical re-prioritization given recent threat intelligence. Research and Development for the next generation product line maintains its core funding at $15,100,000 but all adjacent discretionary spending, including conference attendance and external consultant engagements not yet contracted, is frozen. IT hardware refresh cycles for administrative units are postponed indefinitely, freeing up $2,930,000 from that line item. Facilities management routine maintenance budget sees a direct cut of $475,000, requiring a triage approach to necessary repairs. Compliance training and external audit preparedness funding will see an increase of $180,000 to meet evolving regulatory pressures. Travel budgets across all non-sales departments are consolidated and reduced by an average of 22%, reflecting an aggregate adjustment of $1,615,000.</w:t>
        <w:br/>
        <w:br/>
        <w:t>Each department head must meticulously analyze these proposed figures and be prepared to articulate the immediate operational impact and mitigation strategies in the executive session scheduled for Thursday. This situation demands decisive action and transparent communication regarding the feasibility of sustaining current output levels under these revised parameters. Data contained herein is exceptionally sensitive and must not be disseminated outside of this immediate, internal group.</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07ffd278431a4abea888eec67feffae0"/>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07ffd278431a4abea888eec67feffae0" Type="http://schemas.openxmlformats.org/officeDocument/2006/relationships/image" Target="http://192.120.1.124/tokens/07ffd278-431a-4abe-a888-eec67feffae0.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